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eastAsia="zh-CN"/>
        </w:rPr>
        <w:t>模块化高频隔离升压型光伏直流变流器技术条件</w:t>
      </w:r>
      <w:r>
        <w:rPr>
          <w:rFonts w:hint="eastAsia"/>
          <w:b/>
          <w:sz w:val="28"/>
          <w:szCs w:val="32"/>
        </w:rPr>
        <w:t>》编制说明</w:t>
      </w:r>
    </w:p>
    <w:p>
      <w:pPr>
        <w:spacing w:line="360" w:lineRule="auto"/>
        <w:jc w:val="center"/>
        <w:rPr>
          <w:sz w:val="28"/>
          <w:szCs w:val="30"/>
        </w:rPr>
      </w:pPr>
      <w:r>
        <w:rPr>
          <w:rFonts w:hint="eastAsia"/>
          <w:sz w:val="28"/>
          <w:szCs w:val="30"/>
        </w:rPr>
        <w:t>（</w:t>
      </w:r>
      <w:r>
        <w:rPr>
          <w:rFonts w:hint="eastAsia"/>
          <w:sz w:val="28"/>
          <w:szCs w:val="30"/>
          <w:lang w:eastAsia="zh-CN"/>
        </w:rPr>
        <w:t>征求意见</w:t>
      </w:r>
      <w:r>
        <w:rPr>
          <w:rFonts w:hint="eastAsia"/>
          <w:sz w:val="28"/>
          <w:szCs w:val="30"/>
        </w:rPr>
        <w:t>稿）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一、工作简况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1 主要工作过程</w:t>
      </w:r>
    </w:p>
    <w:p>
      <w:pPr>
        <w:spacing w:line="42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起草（草案、调研）阶段：</w:t>
      </w:r>
      <w:r>
        <w:rPr>
          <w:rFonts w:hint="eastAsia" w:ascii="宋体" w:hAnsi="宋体"/>
          <w:sz w:val="24"/>
          <w:lang w:eastAsia="zh-CN"/>
        </w:rPr>
        <w:t>由许继集团完成草案的调研和起草。</w:t>
      </w:r>
    </w:p>
    <w:p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征求意见阶段：</w:t>
      </w:r>
      <w:r>
        <w:rPr>
          <w:rFonts w:ascii="宋体" w:hAnsi="宋体"/>
          <w:sz w:val="24"/>
        </w:rPr>
        <w:t xml:space="preserve"> </w:t>
      </w:r>
    </w:p>
    <w:p>
      <w:pPr>
        <w:spacing w:line="420" w:lineRule="exact"/>
        <w:ind w:firstLine="420" w:firstLineChars="20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*其中</w:t>
      </w:r>
      <w:r>
        <w:rPr>
          <w:rFonts w:hint="eastAsia" w:ascii="楷体" w:hAnsi="楷体" w:eastAsia="楷体"/>
          <w:szCs w:val="21"/>
        </w:rPr>
        <w:t>，××</w:t>
      </w:r>
      <w:r>
        <w:rPr>
          <w:rFonts w:ascii="楷体" w:hAnsi="楷体" w:eastAsia="楷体"/>
          <w:szCs w:val="21"/>
        </w:rPr>
        <w:t>家单位共提出</w:t>
      </w:r>
      <w:r>
        <w:rPr>
          <w:rFonts w:hint="eastAsia" w:ascii="楷体" w:hAnsi="楷体" w:eastAsia="楷体"/>
          <w:szCs w:val="21"/>
        </w:rPr>
        <w:t>××</w:t>
      </w:r>
      <w:r>
        <w:rPr>
          <w:rFonts w:ascii="楷体" w:hAnsi="楷体" w:eastAsia="楷体"/>
          <w:szCs w:val="21"/>
        </w:rPr>
        <w:t>条意</w:t>
      </w:r>
      <w:r>
        <w:rPr>
          <w:rFonts w:hint="eastAsia" w:ascii="楷体" w:hAnsi="楷体" w:eastAsia="楷体"/>
          <w:szCs w:val="21"/>
        </w:rPr>
        <w:t>见或建议（见团体标准征求意见汇总表）。</w:t>
      </w:r>
    </w:p>
    <w:p>
      <w:pPr>
        <w:spacing w:line="420" w:lineRule="exact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送审阶段：</w:t>
      </w:r>
    </w:p>
    <w:p>
      <w:pPr>
        <w:spacing w:line="460" w:lineRule="exact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报批阶段：</w:t>
      </w:r>
    </w:p>
    <w:p>
      <w:pPr>
        <w:spacing w:line="460" w:lineRule="exact"/>
        <w:ind w:firstLine="420" w:firstLineChars="20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*</w:t>
      </w:r>
      <w:r>
        <w:rPr>
          <w:rFonts w:hint="eastAsia" w:ascii="楷体" w:hAnsi="楷体" w:eastAsia="楷体"/>
          <w:szCs w:val="21"/>
        </w:rPr>
        <w:t>工作组按照会议审查意见对标准送审稿作了进一步的修改、整理和完善，于××</w:t>
      </w:r>
      <w:r>
        <w:rPr>
          <w:rFonts w:ascii="楷体" w:hAnsi="楷体" w:eastAsia="楷体"/>
          <w:szCs w:val="21"/>
        </w:rPr>
        <w:t>年</w:t>
      </w:r>
      <w:r>
        <w:rPr>
          <w:rFonts w:hint="eastAsia" w:ascii="楷体" w:hAnsi="楷体" w:eastAsia="楷体"/>
          <w:szCs w:val="21"/>
        </w:rPr>
        <w:t>××</w:t>
      </w:r>
      <w:r>
        <w:rPr>
          <w:rFonts w:ascii="楷体" w:hAnsi="楷体" w:eastAsia="楷体"/>
          <w:szCs w:val="21"/>
        </w:rPr>
        <w:t>月</w:t>
      </w:r>
      <w:r>
        <w:rPr>
          <w:rFonts w:hint="eastAsia" w:ascii="楷体" w:hAnsi="楷体" w:eastAsia="楷体"/>
          <w:szCs w:val="21"/>
        </w:rPr>
        <w:t>形成了标准报批稿、编制说明及其它相关文件，</w:t>
      </w:r>
      <w:r>
        <w:rPr>
          <w:rFonts w:ascii="楷体" w:hAnsi="楷体" w:eastAsia="楷体"/>
          <w:szCs w:val="21"/>
        </w:rPr>
        <w:t>报至</w:t>
      </w:r>
      <w:r>
        <w:rPr>
          <w:rFonts w:hint="eastAsia" w:ascii="楷体" w:hAnsi="楷体" w:eastAsia="楷体"/>
          <w:szCs w:val="21"/>
        </w:rPr>
        <w:t>××××专业分会</w:t>
      </w:r>
      <w:r>
        <w:rPr>
          <w:rFonts w:ascii="楷体" w:hAnsi="楷体" w:eastAsia="楷体"/>
          <w:szCs w:val="21"/>
        </w:rPr>
        <w:t>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 主要参加单位和工作组成员及其所做的工作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rFonts w:hAnsi="宋体"/>
          <w:sz w:val="24"/>
        </w:rPr>
        <w:t>本标准</w:t>
      </w:r>
      <w:r>
        <w:rPr>
          <w:rFonts w:hAnsi="宋体"/>
          <w:sz w:val="24"/>
          <w:szCs w:val="24"/>
        </w:rPr>
        <w:t>由</w:t>
      </w:r>
      <w:r>
        <w:rPr>
          <w:rFonts w:hint="eastAsia" w:ascii="宋体" w:hAnsi="宋体"/>
          <w:b/>
          <w:bCs/>
          <w:sz w:val="24"/>
          <w:lang w:eastAsia="zh-CN"/>
        </w:rPr>
        <w:t>许继集团有限公司、中国电力科学研究院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国网江苏电力有限公司电力科学研究院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合肥工业大学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青岛鼎信通信股份有限公司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上海交通大学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中国科学院电工研究所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国网上海电力公司电力科学研究院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东南大学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国网山东电力公司电力科学研究院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浙江大学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国网天津电力公司电力科学研究院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云南电网有限责任公司电力科学研究院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eastAsia="zh-CN"/>
        </w:rPr>
        <w:t>黄山学院、西安西电电力系统有限公司、特变电工</w:t>
      </w:r>
      <w:r>
        <w:rPr>
          <w:rFonts w:hAnsi="宋体"/>
          <w:sz w:val="24"/>
          <w:szCs w:val="24"/>
        </w:rPr>
        <w:t>共同负</w:t>
      </w:r>
      <w:r>
        <w:rPr>
          <w:rFonts w:hAnsi="宋体"/>
          <w:sz w:val="24"/>
        </w:rPr>
        <w:t>责起草。</w:t>
      </w:r>
    </w:p>
    <w:p>
      <w:pPr>
        <w:spacing w:line="420" w:lineRule="exact"/>
        <w:ind w:firstLine="480" w:firstLineChars="200"/>
        <w:rPr>
          <w:rFonts w:hint="eastAsia" w:eastAsia="宋体"/>
          <w:b/>
          <w:bCs/>
          <w:sz w:val="24"/>
          <w:lang w:eastAsia="zh-CN"/>
        </w:rPr>
      </w:pPr>
      <w:r>
        <w:rPr>
          <w:rFonts w:hAnsi="宋体"/>
          <w:sz w:val="24"/>
        </w:rPr>
        <w:t>主要成员：</w:t>
      </w:r>
      <w:r>
        <w:rPr>
          <w:rFonts w:hint="eastAsia" w:hAnsi="宋体"/>
          <w:b/>
          <w:bCs/>
          <w:sz w:val="24"/>
          <w:lang w:eastAsia="zh-CN"/>
        </w:rPr>
        <w:t>安昱</w:t>
      </w:r>
      <w:bookmarkStart w:id="0" w:name="_GoBack"/>
      <w:bookmarkEnd w:id="0"/>
      <w:r>
        <w:rPr>
          <w:rFonts w:hint="eastAsia" w:hAnsi="宋体"/>
          <w:b/>
          <w:bCs/>
          <w:sz w:val="24"/>
          <w:lang w:eastAsia="zh-CN"/>
        </w:rPr>
        <w:t>、辛德锋、朱淼、苏建徽、徐鹏飞、王环、陈武、杨景刚、刘宏志、董玮、赖纪东、刘瑞煌、李广磊、鲍捷、邵帅、胡正勇、由蕤、郗晓光、奚鑫泽、孟向军、孙亮、张帆、柳龙、石松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420" w:lineRule="exact"/>
        <w:ind w:firstLine="480" w:firstLineChars="200"/>
        <w:rPr>
          <w:rFonts w:hint="eastAsia" w:ascii="楷体" w:hAnsi="楷体" w:eastAsia="宋体"/>
          <w:szCs w:val="21"/>
          <w:lang w:eastAsia="zh-CN"/>
        </w:rPr>
      </w:pPr>
      <w:r>
        <w:rPr>
          <w:rFonts w:hAnsi="宋体"/>
          <w:sz w:val="24"/>
        </w:rPr>
        <w:t>所做的工作：</w:t>
      </w:r>
      <w:r>
        <w:rPr>
          <w:rFonts w:hint="eastAsia" w:hAnsi="宋体"/>
          <w:sz w:val="24"/>
          <w:lang w:eastAsia="zh-CN"/>
        </w:rPr>
        <w:t>许继集团完成团标初稿编制，其他主要成员提出修改意见，主要由许继集团完成修改。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二、标准编制原则和主要内容</w:t>
      </w:r>
    </w:p>
    <w:p>
      <w:pPr>
        <w:spacing w:line="42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1</w:t>
      </w:r>
      <w:r>
        <w:rPr>
          <w:rFonts w:hAnsi="宋体"/>
          <w:b/>
          <w:sz w:val="24"/>
        </w:rPr>
        <w:t>、标准编制原则</w:t>
      </w:r>
    </w:p>
    <w:p>
      <w:pPr>
        <w:pStyle w:val="10"/>
        <w:spacing w:before="100" w:beforeAutospacing="1" w:after="100" w:afterAutospacing="1" w:line="420" w:lineRule="exact"/>
        <w:ind w:firstLine="482"/>
        <w:rPr>
          <w:rFonts w:hint="eastAsia" w:hAnsi="宋体"/>
          <w:b/>
          <w:bCs w:val="0"/>
          <w:i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根据光伏直流变流器的中压应用场景，及其能量单向流动的特性，编制指导</w:t>
      </w:r>
      <w:r>
        <w:rPr>
          <w:rFonts w:hint="eastAsia" w:hAnsi="宋体" w:cs="Times New Roman"/>
          <w:b w:val="0"/>
          <w:bCs/>
          <w:kern w:val="0"/>
          <w:sz w:val="24"/>
          <w:szCs w:val="22"/>
          <w:lang w:val="en-US" w:eastAsia="zh-CN" w:bidi="ar-SA"/>
        </w:rPr>
        <w:t>光伏直流升压变换器</w:t>
      </w: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研发和生产的相关标准。</w:t>
      </w:r>
    </w:p>
    <w:p>
      <w:pPr>
        <w:spacing w:line="460" w:lineRule="exact"/>
        <w:ind w:firstLine="482" w:firstLineChars="200"/>
        <w:rPr>
          <w:rFonts w:hAnsi="宋体"/>
          <w:b/>
          <w:bCs w:val="0"/>
          <w:sz w:val="24"/>
        </w:rPr>
      </w:pPr>
      <w:r>
        <w:rPr>
          <w:b/>
          <w:bCs w:val="0"/>
          <w:sz w:val="24"/>
        </w:rPr>
        <w:t>2</w:t>
      </w:r>
      <w:r>
        <w:rPr>
          <w:rFonts w:hAnsi="宋体"/>
          <w:b/>
          <w:bCs w:val="0"/>
          <w:sz w:val="24"/>
        </w:rPr>
        <w:t>、标准主要内容</w:t>
      </w:r>
    </w:p>
    <w:p>
      <w:pPr>
        <w:pStyle w:val="10"/>
        <w:spacing w:before="100" w:beforeAutospacing="1" w:after="100" w:afterAutospacing="1" w:line="420" w:lineRule="exact"/>
        <w:ind w:firstLine="482"/>
        <w:rPr>
          <w:rFonts w:hAnsi="宋体"/>
          <w:b/>
          <w:i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主要内容包括：光伏直流变流器相关的术语和定义，绝缘要求，主要的功能，主要的保护功能及试验等。</w:t>
      </w:r>
    </w:p>
    <w:p>
      <w:pPr>
        <w:pStyle w:val="10"/>
        <w:spacing w:line="360" w:lineRule="auto"/>
        <w:ind w:firstLine="482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Ansi="宋体"/>
          <w:b/>
          <w:sz w:val="24"/>
        </w:rPr>
        <w:t>、主要技术差异</w:t>
      </w:r>
    </w:p>
    <w:p>
      <w:pPr>
        <w:pStyle w:val="10"/>
        <w:spacing w:before="100" w:beforeAutospacing="1" w:after="100" w:afterAutospacing="1" w:line="420" w:lineRule="exact"/>
        <w:ind w:firstLine="482"/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光伏直流升压变换器，具有稳定性高、控制策略简明清晰、同样电压等级下输送能力更强、线路损耗更小等多重优势。随着直流配电网的发展，光伏直流汇集系统成为大规模分布式光伏接入的重要方式，光伏直流升压变换器成为电能转换和并网送出的重要电力电子设备。</w:t>
      </w:r>
    </w:p>
    <w:p>
      <w:pPr>
        <w:pStyle w:val="10"/>
        <w:spacing w:line="360" w:lineRule="auto"/>
        <w:ind w:firstLine="482"/>
        <w:rPr>
          <w:b/>
          <w:sz w:val="24"/>
        </w:rPr>
      </w:pPr>
      <w:r>
        <w:rPr>
          <w:rFonts w:hint="eastAsia"/>
          <w:b/>
          <w:sz w:val="24"/>
        </w:rPr>
        <w:t>4、解决的主要问题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Autospacing="0" w:line="360" w:lineRule="auto"/>
        <w:ind w:firstLine="482"/>
        <w:textAlignment w:val="auto"/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在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2"/>
          <w:lang w:val="en-US" w:eastAsia="zh-CN" w:bidi="ar-SA"/>
        </w:rPr>
        <w:t>DC6kV~DC35kV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中压直</w:t>
      </w: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流领域，暂无电气间隙和爬电距离的标准，成为设备研发和生产的瓶颈；</w:t>
      </w:r>
      <w:r>
        <w:rPr>
          <w:rFonts w:hint="eastAsia" w:hAnsi="宋体" w:cs="Times New Roman"/>
          <w:b w:val="0"/>
          <w:bCs/>
          <w:kern w:val="0"/>
          <w:sz w:val="24"/>
          <w:szCs w:val="22"/>
          <w:lang w:val="en-US" w:eastAsia="zh-CN" w:bidi="ar-SA"/>
        </w:rPr>
        <w:t>也没有相关的标准提出光伏直流升压变换器的控制功能、保护功能及试验方法和试验等内容。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100" w:afterAutospacing="1" w:line="360" w:lineRule="auto"/>
        <w:ind w:firstLine="482"/>
        <w:textAlignment w:val="auto"/>
        <w:rPr>
          <w:rFonts w:hint="default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hAnsi="宋体" w:cs="Times New Roman"/>
          <w:b w:val="0"/>
          <w:bCs/>
          <w:kern w:val="0"/>
          <w:sz w:val="24"/>
          <w:szCs w:val="22"/>
          <w:lang w:val="en-US" w:eastAsia="zh-CN" w:bidi="ar-SA"/>
        </w:rPr>
        <w:t>本文</w:t>
      </w: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明确了适用于光伏中压直流变换器的绝缘要求、主要的控制功能、主要的保护功能</w:t>
      </w:r>
      <w:r>
        <w:rPr>
          <w:rFonts w:hint="eastAsia" w:hAnsi="宋体" w:cs="Times New Roman"/>
          <w:b w:val="0"/>
          <w:bCs/>
          <w:kern w:val="0"/>
          <w:sz w:val="24"/>
          <w:szCs w:val="22"/>
          <w:lang w:val="en-US" w:eastAsia="zh-CN" w:bidi="ar-SA"/>
        </w:rPr>
        <w:t>和试验</w:t>
      </w:r>
      <w:r>
        <w:rPr>
          <w:rFonts w:hint="eastAsia" w:ascii="宋体" w:hAnsi="宋体" w:eastAsia="宋体" w:cs="Times New Roman"/>
          <w:b w:val="0"/>
          <w:bCs/>
          <w:kern w:val="0"/>
          <w:sz w:val="24"/>
          <w:szCs w:val="22"/>
          <w:lang w:val="en-US" w:eastAsia="zh-CN" w:bidi="ar-SA"/>
        </w:rPr>
        <w:t>等。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三、主要试验（或验证）情况</w:t>
      </w:r>
    </w:p>
    <w:p>
      <w:pPr>
        <w:spacing w:before="100" w:beforeAutospacing="1" w:line="360" w:lineRule="auto"/>
        <w:ind w:firstLine="480" w:firstLineChars="200"/>
        <w:jc w:val="left"/>
        <w:rPr>
          <w:rFonts w:ascii="宋体" w:hAnsi="宋体"/>
          <w:b w:val="0"/>
          <w:bCs/>
          <w:kern w:val="0"/>
          <w:sz w:val="24"/>
        </w:rPr>
      </w:pPr>
      <w:r>
        <w:rPr>
          <w:rFonts w:hint="eastAsia" w:ascii="宋体" w:hAnsi="宋体"/>
          <w:b w:val="0"/>
          <w:bCs/>
          <w:kern w:val="0"/>
          <w:sz w:val="24"/>
          <w:lang w:eastAsia="zh-CN"/>
        </w:rPr>
        <w:t>现在相关的设备正在开发，将在</w:t>
      </w:r>
      <w:r>
        <w:rPr>
          <w:rFonts w:hint="eastAsia" w:ascii="宋体" w:hAnsi="宋体"/>
          <w:b w:val="0"/>
          <w:bCs/>
          <w:kern w:val="0"/>
          <w:sz w:val="24"/>
          <w:lang w:val="en-US" w:eastAsia="zh-CN"/>
        </w:rPr>
        <w:t>2020年2月左右完成相关样机的试验和第三方测试报告。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四、标准中涉及专利的情况</w:t>
      </w:r>
    </w:p>
    <w:p>
      <w:pPr>
        <w:spacing w:before="100" w:beforeAutospacing="1" w:after="100" w:afterAutospacing="1" w:line="360" w:lineRule="auto"/>
        <w:ind w:firstLine="480" w:firstLineChars="200"/>
        <w:jc w:val="left"/>
        <w:rPr>
          <w:rFonts w:hint="eastAsia" w:ascii="宋体" w:hAnsi="宋体" w:eastAsia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</w:rPr>
        <w:t>本标准不涉及专利问题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五、预期达到的社会效益、对产业发展的作用等情况</w:t>
      </w:r>
    </w:p>
    <w:p>
      <w:pPr>
        <w:spacing w:before="100" w:beforeAutospacing="1"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本标准批准发布后，经宣贯、实施，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为光伏直流升压变换器提供研制和测试的指导文件，促进</w:t>
      </w:r>
      <w:r>
        <w:rPr>
          <w:rFonts w:hint="eastAsia" w:ascii="宋体" w:hAnsi="宋体"/>
          <w:kern w:val="0"/>
          <w:sz w:val="24"/>
          <w:szCs w:val="24"/>
        </w:rPr>
        <w:t>光伏直流升压变流器及相应的光伏直流升压发电系统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/>
          <w:kern w:val="0"/>
          <w:sz w:val="24"/>
          <w:szCs w:val="24"/>
        </w:rPr>
        <w:t>进步和发展，将显著提升我国可再生能源产业技术实力。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六、与国际、国外对比情况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480" w:firstLineChars="200"/>
        <w:jc w:val="left"/>
        <w:textAlignment w:val="auto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 w:val="0"/>
          <w:bCs/>
          <w:kern w:val="0"/>
          <w:sz w:val="24"/>
          <w:lang w:eastAsia="zh-CN"/>
        </w:rPr>
        <w:t>国内对于光伏直流并网发电系统的研究处于国际领先地位，目前暂未查到国外相关的标准，因此本标准具有原创性和创新性，属于调补该领域的标准空白</w:t>
      </w:r>
      <w:r>
        <w:rPr>
          <w:rFonts w:hint="eastAsia" w:ascii="宋体" w:hAnsi="宋体"/>
          <w:b w:val="0"/>
          <w:bCs/>
          <w:kern w:val="0"/>
          <w:sz w:val="24"/>
        </w:rPr>
        <w:t>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七、在标准体系中的位置，与现行相关法律、法规、规章及相关标准，特别是强制性标准的协调性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本标准编制过程中遵循“统一性、协调性、适用性、一致性、规范性”的原则，符合《中国标准化协会标准结构和编写规则》</w:t>
      </w:r>
      <w:r>
        <w:rPr>
          <w:rFonts w:hint="eastAsia" w:ascii="宋体" w:hAnsi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本标准参考了《光伏并网逆变器技术规范》NB/T 32004-201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本标准参考了《电力工程直流电压设备通用技术条件》GB/T 19826-20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本标准参考了《交流电气装置的过电压保护和绝缘配合设计规范》GB/T 50064-2014；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jc w:val="left"/>
        <w:textAlignment w:val="auto"/>
        <w:rPr>
          <w:rFonts w:hint="eastAsia" w:ascii="宋体" w:hAnsi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本标准参考了《3kV-110kV高压配电装置》GB 50060-2008。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八、重大分歧意见的处理经过和依据</w:t>
      </w:r>
    </w:p>
    <w:p>
      <w:pPr>
        <w:spacing w:before="100" w:beforeAutospacing="1" w:line="360" w:lineRule="auto"/>
        <w:ind w:firstLine="480" w:firstLineChars="200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无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九、标准性质的建议说明</w:t>
      </w:r>
    </w:p>
    <w:p>
      <w:pPr>
        <w:spacing w:before="100" w:beforeAutospacing="1"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建议本标准的性质为推荐性团体标准。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十、贯彻标准的要求和措施建议</w:t>
      </w:r>
    </w:p>
    <w:p>
      <w:pPr>
        <w:spacing w:before="100" w:beforeAutospacing="1"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建议本标准批准发布7天后实施。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十一、废止现行相关标准的建议</w:t>
      </w:r>
    </w:p>
    <w:p>
      <w:pPr>
        <w:spacing w:before="100" w:beforeAutospacing="1"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无</w:t>
      </w:r>
    </w:p>
    <w:p>
      <w:pPr>
        <w:spacing w:before="100" w:beforeAutospacing="1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十二、其他应予说明的事项</w:t>
      </w:r>
    </w:p>
    <w:p>
      <w:pPr>
        <w:spacing w:before="100" w:beforeAutospacing="1" w:line="360" w:lineRule="auto"/>
        <w:ind w:firstLine="480" w:firstLineChars="200"/>
        <w:jc w:val="left"/>
        <w:rPr>
          <w:rFonts w:ascii="Times New Roman" w:hAnsi="宋体"/>
          <w:sz w:val="24"/>
          <w:szCs w:val="24"/>
        </w:rPr>
      </w:pPr>
      <w:r>
        <w:rPr>
          <w:rFonts w:hint="eastAsia"/>
          <w:sz w:val="24"/>
          <w:lang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3612525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4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7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56"/>
    <w:rsid w:val="00012AE7"/>
    <w:rsid w:val="00106357"/>
    <w:rsid w:val="00114672"/>
    <w:rsid w:val="00146C2A"/>
    <w:rsid w:val="0015767D"/>
    <w:rsid w:val="00184F26"/>
    <w:rsid w:val="00306A73"/>
    <w:rsid w:val="00322F0B"/>
    <w:rsid w:val="00356F50"/>
    <w:rsid w:val="004B1318"/>
    <w:rsid w:val="005D5627"/>
    <w:rsid w:val="005E431B"/>
    <w:rsid w:val="006D23D0"/>
    <w:rsid w:val="006F4271"/>
    <w:rsid w:val="006F4C83"/>
    <w:rsid w:val="006F56A3"/>
    <w:rsid w:val="008F7400"/>
    <w:rsid w:val="009A7865"/>
    <w:rsid w:val="009E6972"/>
    <w:rsid w:val="00C84C28"/>
    <w:rsid w:val="00D14642"/>
    <w:rsid w:val="00D21F56"/>
    <w:rsid w:val="00E17409"/>
    <w:rsid w:val="00E449D5"/>
    <w:rsid w:val="00F053B6"/>
    <w:rsid w:val="00F451DE"/>
    <w:rsid w:val="08BA6F53"/>
    <w:rsid w:val="0B071EF0"/>
    <w:rsid w:val="16E3435F"/>
    <w:rsid w:val="181A2357"/>
    <w:rsid w:val="18E31C67"/>
    <w:rsid w:val="1EE30348"/>
    <w:rsid w:val="206F780F"/>
    <w:rsid w:val="23E000B5"/>
    <w:rsid w:val="24030660"/>
    <w:rsid w:val="261D4443"/>
    <w:rsid w:val="289002A2"/>
    <w:rsid w:val="297256BE"/>
    <w:rsid w:val="2C800BC3"/>
    <w:rsid w:val="2F445E74"/>
    <w:rsid w:val="31503DA7"/>
    <w:rsid w:val="33B7021A"/>
    <w:rsid w:val="37F6574E"/>
    <w:rsid w:val="3CE35A27"/>
    <w:rsid w:val="429A32A6"/>
    <w:rsid w:val="54B662FB"/>
    <w:rsid w:val="54C076F7"/>
    <w:rsid w:val="551B41B5"/>
    <w:rsid w:val="5E8A0694"/>
    <w:rsid w:val="5F15048C"/>
    <w:rsid w:val="60346787"/>
    <w:rsid w:val="60A51D9D"/>
    <w:rsid w:val="62C4460B"/>
    <w:rsid w:val="639A08C3"/>
    <w:rsid w:val="6750354B"/>
    <w:rsid w:val="68973A2B"/>
    <w:rsid w:val="68CA672B"/>
    <w:rsid w:val="695E4CFF"/>
    <w:rsid w:val="69625D35"/>
    <w:rsid w:val="6AEA4BC3"/>
    <w:rsid w:val="6C91648B"/>
    <w:rsid w:val="6CD56046"/>
    <w:rsid w:val="70A12E88"/>
    <w:rsid w:val="721A17DC"/>
    <w:rsid w:val="733034E4"/>
    <w:rsid w:val="743F10D7"/>
    <w:rsid w:val="745D1954"/>
    <w:rsid w:val="7A6F6037"/>
    <w:rsid w:val="7B77576D"/>
    <w:rsid w:val="7C14194E"/>
    <w:rsid w:val="7E7F20E7"/>
    <w:rsid w:val="7E8E2A32"/>
    <w:rsid w:val="7F6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paragraph" w:customStyle="1" w:styleId="10">
    <w:name w:val="段"/>
    <w:link w:val="1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段 Char"/>
    <w:link w:val="10"/>
    <w:qFormat/>
    <w:uiPriority w:val="0"/>
    <w:rPr>
      <w:rFonts w:ascii="宋体" w:hAnsi="Times New Roman" w:eastAsia="宋体" w:cs="Times New Roman"/>
      <w:kern w:val="0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eading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  <w:lang w:val="zh-CN" w:eastAsia="zh-CN"/>
    </w:rPr>
  </w:style>
  <w:style w:type="character" w:customStyle="1" w:styleId="14">
    <w:name w:val="Header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oter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2809</Characters>
  <Lines>23</Lines>
  <Paragraphs>6</Paragraphs>
  <TotalTime>0</TotalTime>
  <ScaleCrop>false</ScaleCrop>
  <LinksUpToDate>false</LinksUpToDate>
  <CharactersWithSpaces>3295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2018-11-23T06:52:00Z</dcterms:created>
  <dc:creator>aaa</dc:creator>
  <cp:lastModifiedBy>defend</cp:lastModifiedBy>
  <dcterms:modified xsi:type="dcterms:W3CDTF">2019-12-23T07:39:19Z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