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420" w:firstLineChars="200"/>
      </w:pPr>
    </w:p>
    <w:p>
      <w:pPr>
        <w:snapToGrid w:val="0"/>
        <w:jc w:val="center"/>
        <w:rPr>
          <w:rFonts w:ascii="黑体" w:eastAsia="黑体"/>
          <w:b/>
          <w:snapToGrid w:val="0"/>
        </w:rPr>
      </w:pPr>
    </w:p>
    <w:p>
      <w:pPr>
        <w:pStyle w:val="23"/>
      </w:pPr>
    </w:p>
    <w:p>
      <w:pPr>
        <w:pStyle w:val="23"/>
      </w:pPr>
    </w:p>
    <w:p>
      <w:pPr>
        <w:pStyle w:val="23"/>
        <w:ind w:firstLine="0" w:firstLineChars="0"/>
      </w:pPr>
    </w:p>
    <w:p>
      <w:pPr>
        <w:pStyle w:val="23"/>
        <w:ind w:firstLine="0" w:firstLineChars="0"/>
      </w:pPr>
    </w:p>
    <w:p>
      <w:pPr>
        <w:pStyle w:val="23"/>
        <w:ind w:firstLine="0" w:firstLineChars="0"/>
      </w:pPr>
    </w:p>
    <w:p>
      <w:pPr>
        <w:pStyle w:val="23"/>
        <w:ind w:firstLine="0" w:firstLineChars="0"/>
      </w:pPr>
    </w:p>
    <w:p>
      <w:pPr>
        <w:pStyle w:val="23"/>
        <w:ind w:firstLine="0" w:firstLineChars="0"/>
      </w:pPr>
    </w:p>
    <w:p>
      <w:pPr>
        <w:pStyle w:val="23"/>
        <w:ind w:firstLine="0" w:firstLineChars="0"/>
      </w:pPr>
    </w:p>
    <w:p>
      <w:pPr>
        <w:pStyle w:val="23"/>
        <w:ind w:firstLine="0" w:firstLineChars="0"/>
      </w:pPr>
    </w:p>
    <w:p>
      <w:pPr>
        <w:pStyle w:val="23"/>
        <w:ind w:firstLine="0" w:firstLineChars="0"/>
      </w:pPr>
    </w:p>
    <w:p>
      <w:pPr>
        <w:pStyle w:val="23"/>
        <w:ind w:firstLine="0" w:firstLineChars="0"/>
      </w:pPr>
    </w:p>
    <w:p>
      <w:pPr>
        <w:jc w:val="center"/>
        <w:rPr>
          <w:rFonts w:ascii="黑体" w:hAnsi="黑体" w:eastAsia="黑体"/>
          <w:sz w:val="44"/>
          <w:szCs w:val="44"/>
        </w:rPr>
      </w:pPr>
    </w:p>
    <w:p>
      <w:pPr>
        <w:jc w:val="center"/>
        <w:rPr>
          <w:rFonts w:hint="eastAsia" w:ascii="黑体" w:eastAsia="黑体"/>
          <w:sz w:val="44"/>
          <w:szCs w:val="44"/>
        </w:rPr>
      </w:pPr>
      <w:r>
        <w:rPr>
          <w:rFonts w:hint="eastAsia" w:ascii="黑体" w:eastAsia="黑体"/>
          <w:sz w:val="44"/>
          <w:szCs w:val="44"/>
        </w:rPr>
        <w:t>高压直流转换开关振荡特性测量导则</w:t>
      </w:r>
    </w:p>
    <w:p>
      <w:pPr>
        <w:jc w:val="center"/>
        <w:rPr>
          <w:rFonts w:ascii="黑体" w:hAnsi="黑体" w:eastAsia="黑体"/>
          <w:sz w:val="44"/>
          <w:szCs w:val="44"/>
        </w:rPr>
      </w:pPr>
      <w:r>
        <w:rPr>
          <w:rFonts w:hint="eastAsia" w:ascii="黑体" w:eastAsia="黑体"/>
          <w:sz w:val="44"/>
          <w:szCs w:val="44"/>
        </w:rPr>
        <w:t>（征求意见稿）</w:t>
      </w:r>
    </w:p>
    <w:p>
      <w:pPr>
        <w:pStyle w:val="23"/>
        <w:ind w:firstLine="0" w:firstLineChars="0"/>
        <w:jc w:val="center"/>
        <w:rPr>
          <w:rFonts w:hAnsi="宋体"/>
          <w:szCs w:val="21"/>
        </w:rPr>
      </w:pPr>
    </w:p>
    <w:p>
      <w:pPr>
        <w:pStyle w:val="23"/>
        <w:ind w:firstLine="0" w:firstLineChars="0"/>
        <w:jc w:val="center"/>
        <w:rPr>
          <w:rFonts w:hAnsi="宋体"/>
          <w:szCs w:val="21"/>
        </w:rPr>
      </w:pPr>
    </w:p>
    <w:p>
      <w:pPr>
        <w:pStyle w:val="23"/>
        <w:ind w:firstLine="0" w:firstLineChars="0"/>
        <w:jc w:val="center"/>
        <w:rPr>
          <w:rFonts w:ascii="黑体" w:hAnsi="黑体" w:eastAsia="黑体"/>
          <w:sz w:val="28"/>
          <w:szCs w:val="28"/>
        </w:rPr>
      </w:pPr>
      <w:r>
        <w:rPr>
          <w:rFonts w:hint="eastAsia" w:ascii="黑体" w:hAnsi="黑体" w:eastAsia="黑体"/>
          <w:sz w:val="28"/>
          <w:szCs w:val="28"/>
        </w:rPr>
        <w:t>编  制  说  明</w:t>
      </w:r>
    </w:p>
    <w:p>
      <w:pPr>
        <w:pStyle w:val="23"/>
        <w:ind w:firstLine="560"/>
        <w:jc w:val="center"/>
        <w:rPr>
          <w:rFonts w:ascii="黑体" w:hAnsi="黑体" w:eastAsia="黑体"/>
          <w:sz w:val="28"/>
          <w:szCs w:val="28"/>
        </w:rPr>
      </w:pPr>
    </w:p>
    <w:p>
      <w:pPr>
        <w:pStyle w:val="23"/>
        <w:ind w:firstLine="560"/>
        <w:jc w:val="center"/>
        <w:rPr>
          <w:rFonts w:ascii="黑体" w:hAnsi="黑体" w:eastAsia="黑体"/>
          <w:sz w:val="28"/>
          <w:szCs w:val="28"/>
        </w:rPr>
      </w:pPr>
    </w:p>
    <w:p>
      <w:pPr>
        <w:pStyle w:val="23"/>
        <w:ind w:firstLine="560"/>
        <w:jc w:val="center"/>
        <w:rPr>
          <w:rFonts w:ascii="黑体" w:hAnsi="黑体" w:eastAsia="黑体"/>
          <w:sz w:val="28"/>
          <w:szCs w:val="28"/>
        </w:rPr>
      </w:pPr>
    </w:p>
    <w:p>
      <w:pPr>
        <w:pStyle w:val="23"/>
        <w:ind w:firstLine="560"/>
        <w:jc w:val="center"/>
        <w:rPr>
          <w:rFonts w:ascii="黑体" w:hAnsi="黑体" w:eastAsia="黑体"/>
          <w:sz w:val="28"/>
          <w:szCs w:val="28"/>
        </w:rPr>
      </w:pPr>
    </w:p>
    <w:p>
      <w:pPr>
        <w:pStyle w:val="23"/>
        <w:ind w:firstLine="560"/>
        <w:jc w:val="center"/>
        <w:rPr>
          <w:rFonts w:ascii="黑体" w:hAnsi="黑体" w:eastAsia="黑体"/>
          <w:sz w:val="28"/>
          <w:szCs w:val="28"/>
        </w:rPr>
      </w:pPr>
    </w:p>
    <w:p>
      <w:pPr>
        <w:pStyle w:val="23"/>
        <w:ind w:firstLine="560"/>
        <w:jc w:val="center"/>
        <w:rPr>
          <w:rFonts w:ascii="黑体" w:hAnsi="黑体" w:eastAsia="黑体"/>
          <w:sz w:val="28"/>
          <w:szCs w:val="28"/>
        </w:rPr>
      </w:pPr>
    </w:p>
    <w:p>
      <w:pPr>
        <w:pStyle w:val="23"/>
        <w:ind w:firstLine="560"/>
        <w:jc w:val="center"/>
        <w:rPr>
          <w:rFonts w:ascii="黑体" w:hAnsi="黑体" w:eastAsia="黑体"/>
          <w:sz w:val="28"/>
          <w:szCs w:val="28"/>
        </w:rPr>
      </w:pPr>
    </w:p>
    <w:p>
      <w:pPr>
        <w:pStyle w:val="23"/>
        <w:ind w:firstLine="560"/>
        <w:jc w:val="center"/>
        <w:rPr>
          <w:rFonts w:ascii="黑体" w:hAnsi="黑体" w:eastAsia="黑体"/>
          <w:sz w:val="28"/>
          <w:szCs w:val="28"/>
        </w:rPr>
      </w:pPr>
    </w:p>
    <w:p>
      <w:pPr>
        <w:pStyle w:val="23"/>
        <w:ind w:firstLine="560"/>
        <w:jc w:val="center"/>
        <w:rPr>
          <w:rFonts w:ascii="黑体" w:hAnsi="黑体" w:eastAsia="黑体"/>
          <w:sz w:val="28"/>
          <w:szCs w:val="28"/>
        </w:rPr>
      </w:pPr>
    </w:p>
    <w:p>
      <w:pPr>
        <w:pStyle w:val="23"/>
        <w:ind w:firstLine="560"/>
        <w:jc w:val="center"/>
        <w:rPr>
          <w:rFonts w:ascii="黑体" w:hAnsi="黑体" w:eastAsia="黑体"/>
          <w:sz w:val="28"/>
          <w:szCs w:val="28"/>
        </w:rPr>
      </w:pPr>
    </w:p>
    <w:p>
      <w:pPr>
        <w:pStyle w:val="49"/>
      </w:pPr>
      <w:r>
        <w:rPr>
          <w:rFonts w:hint="eastAsia"/>
        </w:rPr>
        <w:t>目    次</w:t>
      </w:r>
    </w:p>
    <w:p>
      <w:pPr>
        <w:pStyle w:val="19"/>
        <w:spacing w:before="78" w:after="78"/>
        <w:rPr>
          <w:rFonts w:hint="eastAsia" w:eastAsia="宋体"/>
          <w:lang w:eastAsia="zh-CN"/>
        </w:rPr>
      </w:pPr>
      <w:r>
        <w:rPr>
          <w:rFonts w:hint="eastAsia"/>
        </w:rPr>
        <w:t>1  编制背景</w:t>
      </w:r>
      <w:r>
        <w:rPr>
          <w:rFonts w:ascii="Times New Roman"/>
        </w:rPr>
        <w:t>．．．．．．．．．．．．．．．．．．．．．．．．．．．．．．．．．．．．．．．．．．．．．．．．．．．．．．．．．．．．．．．．</w:t>
      </w:r>
      <w:r>
        <w:rPr>
          <w:rFonts w:hint="eastAsia"/>
          <w:lang w:val="en-US" w:eastAsia="zh-CN"/>
        </w:rPr>
        <w:t>1</w:t>
      </w:r>
    </w:p>
    <w:p>
      <w:pPr>
        <w:pStyle w:val="19"/>
        <w:spacing w:before="78" w:after="78"/>
        <w:rPr>
          <w:rFonts w:hint="eastAsia" w:eastAsia="宋体"/>
          <w:lang w:eastAsia="zh-CN"/>
        </w:rPr>
      </w:pPr>
      <w:r>
        <w:rPr>
          <w:rFonts w:hint="eastAsia"/>
        </w:rPr>
        <w:t>2  编制主要原则．．．．．．．．．．．．．．．．．．．．．．．．．．．．．．．．．．．．．．．．．．．．．．．．．．．．．．．．．．．．</w:t>
      </w:r>
      <w:r>
        <w:rPr>
          <w:rFonts w:hint="eastAsia"/>
          <w:lang w:val="en-US" w:eastAsia="zh-CN"/>
        </w:rPr>
        <w:t>1</w:t>
      </w:r>
    </w:p>
    <w:p>
      <w:pPr>
        <w:pStyle w:val="19"/>
        <w:spacing w:before="78" w:after="78"/>
        <w:rPr>
          <w:rFonts w:hint="eastAsia" w:eastAsia="宋体"/>
          <w:lang w:eastAsia="zh-CN"/>
        </w:rPr>
      </w:pPr>
      <w:r>
        <w:rPr>
          <w:rFonts w:hint="eastAsia"/>
        </w:rPr>
        <w:t>3  与其他标准文件的关系．．．．．．．．．．．．．．．．．．．．．．．．．．．．．．．．．．．．．．．．．．．．．．．．．．．．</w:t>
      </w:r>
      <w:r>
        <w:rPr>
          <w:rFonts w:hint="eastAsia"/>
          <w:lang w:val="en-US" w:eastAsia="zh-CN"/>
        </w:rPr>
        <w:t>1</w:t>
      </w:r>
    </w:p>
    <w:p>
      <w:pPr>
        <w:pStyle w:val="19"/>
        <w:spacing w:before="78" w:after="78"/>
        <w:rPr>
          <w:rFonts w:hint="eastAsia" w:eastAsia="宋体"/>
          <w:lang w:eastAsia="zh-CN"/>
        </w:rPr>
      </w:pPr>
      <w:r>
        <w:rPr>
          <w:rFonts w:hint="eastAsia"/>
        </w:rPr>
        <w:t>4  主要工作过程．．．．．．．．．．．．．．．．．．．．．．．．．．．．．．．．．．．．．．．．．．．．．．．．．．．．．．．．．．．．</w:t>
      </w:r>
      <w:r>
        <w:rPr>
          <w:rFonts w:hint="eastAsia"/>
          <w:lang w:val="en-US" w:eastAsia="zh-CN"/>
        </w:rPr>
        <w:t>1</w:t>
      </w:r>
    </w:p>
    <w:p>
      <w:pPr>
        <w:pStyle w:val="19"/>
        <w:spacing w:before="78" w:after="78"/>
        <w:rPr>
          <w:rFonts w:hint="eastAsia" w:eastAsia="宋体"/>
          <w:lang w:eastAsia="zh-CN"/>
        </w:rPr>
      </w:pPr>
      <w:r>
        <w:rPr>
          <w:rFonts w:hint="eastAsia"/>
        </w:rPr>
        <w:t>5  标准结构和内容．．．．．．．．．．．．．．．．．．．．．．．．．．．．．．．．．．．．．．．．．．．．．．．．．．．．．．．．．．</w:t>
      </w:r>
      <w:r>
        <w:rPr>
          <w:rFonts w:hint="eastAsia"/>
          <w:lang w:val="en-US" w:eastAsia="zh-CN"/>
        </w:rPr>
        <w:t>1</w:t>
      </w:r>
    </w:p>
    <w:p>
      <w:pPr>
        <w:pStyle w:val="19"/>
        <w:spacing w:before="78" w:after="78"/>
        <w:rPr>
          <w:rFonts w:hint="eastAsia" w:eastAsia="宋体"/>
          <w:lang w:eastAsia="zh-CN"/>
        </w:rPr>
      </w:pPr>
      <w:r>
        <w:rPr>
          <w:rFonts w:hint="eastAsia"/>
        </w:rPr>
        <w:t>6  条文说明．．．．．．．．．．．．．．．．．．．．．．．．．．．．．．．．．．．．．．．．．．．．．．．．．．．．．．．．．．．．．．．．</w:t>
      </w:r>
      <w:r>
        <w:rPr>
          <w:rFonts w:hint="eastAsia"/>
          <w:lang w:val="en-US" w:eastAsia="zh-CN"/>
        </w:rPr>
        <w:t>1</w:t>
      </w:r>
      <w:bookmarkStart w:id="0" w:name="_GoBack"/>
      <w:bookmarkEnd w:id="0"/>
    </w:p>
    <w:p>
      <w:pPr>
        <w:pStyle w:val="23"/>
        <w:ind w:firstLine="0" w:firstLineChars="0"/>
        <w:jc w:val="center"/>
        <w:rPr>
          <w:rFonts w:hAnsi="宋体"/>
          <w:szCs w:val="21"/>
        </w:rPr>
      </w:pPr>
    </w:p>
    <w:p>
      <w:pPr>
        <w:pStyle w:val="23"/>
        <w:ind w:firstLine="0" w:firstLineChars="0"/>
        <w:jc w:val="center"/>
        <w:rPr>
          <w:rFonts w:hAnsi="宋体"/>
          <w:szCs w:val="21"/>
        </w:rPr>
      </w:pPr>
    </w:p>
    <w:p>
      <w:pPr>
        <w:pStyle w:val="23"/>
        <w:ind w:firstLine="0" w:firstLineChars="0"/>
        <w:jc w:val="center"/>
        <w:rPr>
          <w:rFonts w:ascii="黑体" w:hAnsi="黑体" w:eastAsia="黑体"/>
          <w:sz w:val="28"/>
          <w:szCs w:val="28"/>
        </w:rPr>
      </w:pPr>
    </w:p>
    <w:p>
      <w:pPr>
        <w:widowControl/>
        <w:numPr>
          <w:ilvl w:val="1"/>
          <w:numId w:val="0"/>
        </w:numPr>
        <w:tabs>
          <w:tab w:val="left" w:pos="420"/>
        </w:tabs>
        <w:spacing w:before="312" w:beforeLines="100" w:after="312" w:afterLines="100"/>
        <w:outlineLvl w:val="1"/>
        <w:rPr>
          <w:rFonts w:hint="eastAsia" w:ascii="黑体" w:eastAsia="黑体"/>
          <w:kern w:val="0"/>
          <w:szCs w:val="20"/>
        </w:rPr>
        <w:sectPr>
          <w:headerReference r:id="rId3" w:type="default"/>
          <w:footerReference r:id="rId4" w:type="default"/>
          <w:footerReference r:id="rId5" w:type="even"/>
          <w:pgSz w:w="10433" w:h="14742"/>
          <w:pgMar w:top="1134" w:right="1134" w:bottom="1134" w:left="1134" w:header="737" w:footer="737" w:gutter="0"/>
          <w:pgNumType w:start="1"/>
          <w:cols w:space="425" w:num="1"/>
          <w:formProt w:val="0"/>
          <w:docGrid w:type="lines" w:linePitch="312" w:charSpace="0"/>
        </w:sectPr>
      </w:pPr>
    </w:p>
    <w:p>
      <w:pPr>
        <w:widowControl/>
        <w:numPr>
          <w:ilvl w:val="1"/>
          <w:numId w:val="0"/>
        </w:numPr>
        <w:tabs>
          <w:tab w:val="left" w:pos="420"/>
        </w:tabs>
        <w:spacing w:before="312" w:beforeLines="100" w:after="312" w:afterLines="100"/>
        <w:outlineLvl w:val="1"/>
        <w:rPr>
          <w:rFonts w:ascii="黑体" w:eastAsia="黑体"/>
          <w:kern w:val="0"/>
          <w:szCs w:val="20"/>
        </w:rPr>
      </w:pPr>
      <w:r>
        <w:rPr>
          <w:rFonts w:hint="eastAsia" w:ascii="黑体" w:eastAsia="黑体"/>
          <w:kern w:val="0"/>
          <w:szCs w:val="20"/>
        </w:rPr>
        <w:t>1  编制背景</w:t>
      </w:r>
    </w:p>
    <w:p>
      <w:pPr>
        <w:widowControl/>
        <w:numPr>
          <w:ilvl w:val="1"/>
          <w:numId w:val="0"/>
        </w:numPr>
        <w:tabs>
          <w:tab w:val="left" w:pos="420"/>
        </w:tabs>
        <w:spacing w:before="312" w:beforeLines="100" w:after="312" w:afterLines="100"/>
        <w:outlineLvl w:val="1"/>
        <w:rPr>
          <w:rFonts w:ascii="黑体" w:eastAsia="黑体"/>
          <w:kern w:val="0"/>
          <w:szCs w:val="20"/>
        </w:rPr>
      </w:pPr>
      <w:r>
        <w:rPr>
          <w:rFonts w:hint="eastAsia" w:ascii="黑体" w:eastAsia="黑体"/>
          <w:kern w:val="0"/>
          <w:szCs w:val="20"/>
        </w:rPr>
        <w:t>2  编制主要原则</w:t>
      </w:r>
    </w:p>
    <w:p>
      <w:pPr>
        <w:snapToGrid w:val="0"/>
        <w:ind w:firstLine="420"/>
        <w:rPr>
          <w:szCs w:val="20"/>
        </w:rPr>
      </w:pPr>
      <w:r>
        <w:rPr>
          <w:rFonts w:hint="eastAsia"/>
          <w:szCs w:val="20"/>
        </w:rPr>
        <w:t>本标准主要根据以下原则编制：</w:t>
      </w:r>
      <w:r>
        <w:rPr>
          <w:szCs w:val="20"/>
        </w:rPr>
        <w:t xml:space="preserve"> </w:t>
      </w:r>
    </w:p>
    <w:p>
      <w:pPr>
        <w:snapToGrid w:val="0"/>
        <w:ind w:left="812" w:leftChars="200" w:hanging="392" w:hangingChars="187"/>
      </w:pPr>
      <w:r>
        <w:rPr>
          <w:rFonts w:asciiTheme="minorEastAsia" w:hAnsiTheme="minorEastAsia" w:eastAsiaTheme="minorEastAsia"/>
        </w:rPr>
        <w:t>a</w:t>
      </w:r>
      <w:r>
        <w:rPr>
          <w:rFonts w:hint="eastAsia" w:asciiTheme="minorEastAsia" w:hAnsiTheme="minorEastAsia" w:eastAsiaTheme="minorEastAsia"/>
        </w:rPr>
        <w:t xml:space="preserve">) </w:t>
      </w:r>
      <w:r>
        <w:rPr>
          <w:rFonts w:hint="eastAsia"/>
        </w:rPr>
        <w:t xml:space="preserve"> 直流转换开关不同于一般的高压交流断路器，参考《</w:t>
      </w:r>
      <w:r>
        <w:t>GB/T 13498-2007  高压直流输电术语</w:t>
      </w:r>
      <w:r>
        <w:rPr>
          <w:rFonts w:hint="eastAsia"/>
        </w:rPr>
        <w:t>》和《</w:t>
      </w:r>
      <w:r>
        <w:t>GB/T 25309-2010  高压直流转换开关</w:t>
      </w:r>
      <w:r>
        <w:rPr>
          <w:rFonts w:hint="eastAsia"/>
        </w:rPr>
        <w:t>》中的术语定义，与一般高压交流断路器定义进行对比，提出了本标准中的术语定义。</w:t>
      </w:r>
    </w:p>
    <w:p>
      <w:pPr>
        <w:snapToGrid w:val="0"/>
        <w:ind w:left="812" w:leftChars="200" w:hanging="392" w:hangingChars="187"/>
      </w:pPr>
      <w:r>
        <w:rPr>
          <w:rFonts w:hint="eastAsia" w:asciiTheme="minorEastAsia" w:hAnsiTheme="minorEastAsia" w:eastAsiaTheme="minorEastAsia"/>
        </w:rPr>
        <w:t>b)</w:t>
      </w:r>
      <w:r>
        <w:rPr>
          <w:rFonts w:hint="eastAsia"/>
        </w:rPr>
        <w:t xml:space="preserve">  直流转换开关振荡特性参数测量试验属于交接试验和诊断性试验，参考《DL/T 274-2012  </w:t>
      </w:r>
      <w:r>
        <w:t>±800kV</w:t>
      </w:r>
      <w:r>
        <w:rPr>
          <w:rFonts w:hint="eastAsia"/>
        </w:rPr>
        <w:t>高压直流设备交接试验》和《</w:t>
      </w:r>
      <w:r>
        <w:t>Q/GDW 1168-2013  输变电设备状态检修试验规程</w:t>
      </w:r>
      <w:r>
        <w:rPr>
          <w:rFonts w:hint="eastAsia"/>
        </w:rPr>
        <w:t>》，提出了该试验的检测条件、检测要求和检测周期等。</w:t>
      </w:r>
    </w:p>
    <w:p>
      <w:pPr>
        <w:snapToGrid w:val="0"/>
        <w:ind w:left="812" w:leftChars="200" w:hanging="392" w:hangingChars="187"/>
      </w:pPr>
      <w:r>
        <w:rPr>
          <w:rFonts w:hint="eastAsia" w:asciiTheme="minorEastAsia" w:hAnsiTheme="minorEastAsia" w:eastAsiaTheme="minorEastAsia"/>
        </w:rPr>
        <w:t>c)</w:t>
      </w:r>
      <w:r>
        <w:rPr>
          <w:rFonts w:hint="eastAsia"/>
        </w:rPr>
        <w:t xml:space="preserve">  标准起草单位参与</w:t>
      </w:r>
      <w:r>
        <w:t>±800kV</w:t>
      </w:r>
      <w:r>
        <w:rPr>
          <w:rFonts w:hint="eastAsia"/>
        </w:rPr>
        <w:t>复龙直流工程、</w:t>
      </w:r>
      <w:r>
        <w:t>±800kV</w:t>
      </w:r>
      <w:r>
        <w:rPr>
          <w:rFonts w:hint="eastAsia"/>
        </w:rPr>
        <w:t>哈密直流工程、</w:t>
      </w:r>
      <w:r>
        <w:t>±800kV</w:t>
      </w:r>
      <w:r>
        <w:rPr>
          <w:rFonts w:hint="eastAsia"/>
        </w:rPr>
        <w:t>锡盟直流工程和</w:t>
      </w:r>
      <w:r>
        <w:t>±</w:t>
      </w:r>
      <w:r>
        <w:rPr>
          <w:rFonts w:hint="eastAsia"/>
        </w:rPr>
        <w:t>11</w:t>
      </w:r>
      <w:r>
        <w:t>00kV</w:t>
      </w:r>
      <w:r>
        <w:rPr>
          <w:rFonts w:hint="eastAsia"/>
        </w:rPr>
        <w:t>昌吉-古泉直流工程的直流转换开关调试项目，总结现场经验，提出了有源型直流转换开关和无源型直流转换开关的试验方法，以及直流转换开关振荡特性参数的判断方法。</w:t>
      </w:r>
    </w:p>
    <w:p>
      <w:pPr>
        <w:widowControl/>
        <w:numPr>
          <w:ilvl w:val="1"/>
          <w:numId w:val="0"/>
        </w:numPr>
        <w:tabs>
          <w:tab w:val="left" w:pos="420"/>
        </w:tabs>
        <w:spacing w:before="312" w:beforeLines="100" w:after="312" w:afterLines="100"/>
        <w:outlineLvl w:val="1"/>
        <w:rPr>
          <w:rFonts w:ascii="黑体" w:eastAsia="黑体"/>
          <w:kern w:val="0"/>
          <w:szCs w:val="20"/>
        </w:rPr>
      </w:pPr>
      <w:r>
        <w:rPr>
          <w:rFonts w:hint="eastAsia" w:ascii="黑体" w:eastAsia="黑体"/>
          <w:kern w:val="0"/>
          <w:szCs w:val="20"/>
        </w:rPr>
        <w:t>3  与其他标准文件的关系</w:t>
      </w:r>
    </w:p>
    <w:p>
      <w:pPr>
        <w:topLinePunct/>
        <w:ind w:firstLine="425"/>
      </w:pPr>
      <w:r>
        <w:t>本</w:t>
      </w:r>
      <w:r>
        <w:rPr>
          <w:rFonts w:hint="eastAsia"/>
        </w:rPr>
        <w:t>标准</w:t>
      </w:r>
      <w:r>
        <w:t>与相关技术领域的国家现行法律、法规和政策保持一致。</w:t>
      </w:r>
    </w:p>
    <w:p>
      <w:pPr>
        <w:topLinePunct/>
        <w:ind w:firstLine="425"/>
      </w:pPr>
      <w:r>
        <w:rPr>
          <w:rFonts w:hint="eastAsia"/>
        </w:rPr>
        <w:t>本标准某些内容可能涉及</w:t>
      </w:r>
      <w:r>
        <w:t>专利</w:t>
      </w:r>
      <w:r>
        <w:rPr>
          <w:rFonts w:hint="eastAsia"/>
        </w:rPr>
        <w:t>、</w:t>
      </w:r>
      <w:r>
        <w:t>软件著作权等知识产权问题</w:t>
      </w:r>
      <w:r>
        <w:rPr>
          <w:rFonts w:hint="eastAsia"/>
        </w:rPr>
        <w:t>。</w:t>
      </w:r>
    </w:p>
    <w:p>
      <w:pPr>
        <w:snapToGrid w:val="0"/>
        <w:ind w:firstLine="420"/>
      </w:pPr>
      <w:r>
        <w:rPr>
          <w:rFonts w:hint="eastAsia"/>
        </w:rPr>
        <w:t>本标准主要参考以下标准：</w:t>
      </w:r>
    </w:p>
    <w:p>
      <w:pPr>
        <w:snapToGrid w:val="0"/>
        <w:ind w:firstLine="420"/>
        <w:rPr>
          <w:rFonts w:hAnsi="宋体"/>
          <w:szCs w:val="21"/>
        </w:rPr>
      </w:pPr>
      <w:r>
        <w:rPr>
          <w:rFonts w:hAnsi="宋体"/>
          <w:szCs w:val="21"/>
        </w:rPr>
        <w:t>GB/T 2900.20-2016  电工术语  高压开关设备</w:t>
      </w:r>
    </w:p>
    <w:p>
      <w:pPr>
        <w:snapToGrid w:val="0"/>
        <w:ind w:firstLine="420"/>
        <w:rPr>
          <w:rFonts w:hAnsi="宋体"/>
          <w:szCs w:val="21"/>
        </w:rPr>
      </w:pPr>
      <w:r>
        <w:rPr>
          <w:rFonts w:hAnsi="宋体"/>
          <w:szCs w:val="21"/>
        </w:rPr>
        <w:t>GB/T 13498-20</w:t>
      </w:r>
      <w:r>
        <w:rPr>
          <w:rFonts w:hint="eastAsia" w:hAnsi="宋体"/>
          <w:szCs w:val="21"/>
        </w:rPr>
        <w:t>1</w:t>
      </w:r>
      <w:r>
        <w:rPr>
          <w:rFonts w:hAnsi="宋体"/>
          <w:szCs w:val="21"/>
        </w:rPr>
        <w:t>7  高压直流输电术语</w:t>
      </w:r>
    </w:p>
    <w:p>
      <w:pPr>
        <w:snapToGrid w:val="0"/>
        <w:ind w:firstLine="420"/>
        <w:rPr>
          <w:rFonts w:hAnsi="宋体"/>
          <w:szCs w:val="21"/>
        </w:rPr>
      </w:pPr>
      <w:r>
        <w:rPr>
          <w:rFonts w:hAnsi="宋体"/>
          <w:szCs w:val="21"/>
        </w:rPr>
        <w:t>GB/T 25309-2010  高压直流转换开关</w:t>
      </w:r>
    </w:p>
    <w:p>
      <w:pPr>
        <w:snapToGrid w:val="0"/>
        <w:ind w:firstLine="420"/>
        <w:rPr>
          <w:rFonts w:hAnsi="宋体"/>
          <w:szCs w:val="21"/>
        </w:rPr>
      </w:pPr>
      <w:r>
        <w:rPr>
          <w:rFonts w:hint="eastAsia" w:hAnsi="宋体"/>
          <w:szCs w:val="21"/>
        </w:rPr>
        <w:t>GB/T 34865-2017  高压直流转换开关用电容器</w:t>
      </w:r>
    </w:p>
    <w:p>
      <w:pPr>
        <w:snapToGrid w:val="0"/>
        <w:ind w:firstLine="420"/>
        <w:rPr>
          <w:rFonts w:hAnsi="宋体"/>
          <w:szCs w:val="21"/>
        </w:rPr>
      </w:pPr>
      <w:r>
        <w:rPr>
          <w:rFonts w:hint="eastAsia" w:hAnsi="宋体"/>
          <w:szCs w:val="21"/>
        </w:rPr>
        <w:t xml:space="preserve">DL/T 274-2012  </w:t>
      </w:r>
      <w:r>
        <w:rPr>
          <w:rFonts w:hAnsi="宋体"/>
          <w:szCs w:val="21"/>
        </w:rPr>
        <w:t>±800kV</w:t>
      </w:r>
      <w:r>
        <w:rPr>
          <w:rFonts w:hint="eastAsia" w:hAnsi="宋体"/>
          <w:szCs w:val="21"/>
        </w:rPr>
        <w:t>高压直流设备交接试验</w:t>
      </w:r>
    </w:p>
    <w:p>
      <w:pPr>
        <w:snapToGrid w:val="0"/>
        <w:ind w:firstLine="420"/>
        <w:rPr>
          <w:rFonts w:hAnsi="宋体"/>
          <w:szCs w:val="21"/>
        </w:rPr>
      </w:pPr>
      <w:r>
        <w:rPr>
          <w:rFonts w:hAnsi="宋体"/>
          <w:szCs w:val="21"/>
        </w:rPr>
        <w:t>Q/GDW 1275-2015  ±800kV直流系统电气设备交接试验</w:t>
      </w:r>
    </w:p>
    <w:p>
      <w:pPr>
        <w:widowControl/>
        <w:numPr>
          <w:ilvl w:val="1"/>
          <w:numId w:val="0"/>
        </w:numPr>
        <w:tabs>
          <w:tab w:val="left" w:pos="420"/>
        </w:tabs>
        <w:spacing w:before="312" w:beforeLines="100" w:after="312" w:afterLines="100"/>
        <w:outlineLvl w:val="1"/>
        <w:rPr>
          <w:rFonts w:ascii="黑体" w:eastAsia="黑体"/>
          <w:kern w:val="0"/>
          <w:szCs w:val="20"/>
        </w:rPr>
      </w:pPr>
      <w:r>
        <w:rPr>
          <w:rFonts w:hint="eastAsia" w:ascii="黑体" w:eastAsia="黑体"/>
          <w:kern w:val="0"/>
          <w:szCs w:val="20"/>
        </w:rPr>
        <w:t>4  主要工作过程</w:t>
      </w:r>
    </w:p>
    <w:p>
      <w:pPr>
        <w:widowControl/>
        <w:numPr>
          <w:ilvl w:val="1"/>
          <w:numId w:val="0"/>
        </w:numPr>
        <w:tabs>
          <w:tab w:val="left" w:pos="420"/>
        </w:tabs>
        <w:spacing w:before="312" w:beforeLines="100" w:after="312" w:afterLines="100"/>
        <w:outlineLvl w:val="1"/>
        <w:rPr>
          <w:rFonts w:ascii="黑体" w:eastAsia="黑体"/>
          <w:kern w:val="0"/>
          <w:szCs w:val="20"/>
        </w:rPr>
      </w:pPr>
      <w:r>
        <w:rPr>
          <w:rFonts w:hint="eastAsia" w:ascii="黑体" w:eastAsia="黑体"/>
          <w:kern w:val="0"/>
          <w:szCs w:val="20"/>
        </w:rPr>
        <w:t>5  标准结构和内容</w:t>
      </w:r>
    </w:p>
    <w:p>
      <w:pPr>
        <w:pStyle w:val="23"/>
        <w:rPr>
          <w:rFonts w:ascii="Times New Roman"/>
        </w:rPr>
      </w:pPr>
      <w:r>
        <w:rPr>
          <w:rFonts w:hint="eastAsia" w:ascii="Times New Roman"/>
        </w:rPr>
        <w:t>本标准依据</w:t>
      </w:r>
      <w:r>
        <w:rPr>
          <w:rFonts w:ascii="Times New Roman"/>
        </w:rPr>
        <w:t>GB/T 1.1</w:t>
      </w:r>
      <w:r>
        <w:rPr>
          <w:rFonts w:hint="eastAsia" w:ascii="Times New Roman"/>
        </w:rPr>
        <w:t>《标准化工作导则第</w:t>
      </w:r>
      <w:r>
        <w:rPr>
          <w:rFonts w:ascii="Times New Roman"/>
        </w:rPr>
        <w:t>1</w:t>
      </w:r>
      <w:r>
        <w:rPr>
          <w:rFonts w:hint="eastAsia" w:ascii="Times New Roman"/>
        </w:rPr>
        <w:t>部分：标准的结构和编写规则》的编写要求进行编制。标准的主要结构和内容如下：</w:t>
      </w:r>
    </w:p>
    <w:p>
      <w:pPr>
        <w:pStyle w:val="23"/>
        <w:rPr>
          <w:rFonts w:ascii="Times New Roman"/>
        </w:rPr>
      </w:pPr>
      <w:r>
        <w:rPr>
          <w:rFonts w:ascii="Times New Roman"/>
        </w:rPr>
        <w:t xml:space="preserve">1. </w:t>
      </w:r>
      <w:r>
        <w:rPr>
          <w:rFonts w:hint="eastAsia" w:ascii="Times New Roman"/>
        </w:rPr>
        <w:t>目次；</w:t>
      </w:r>
    </w:p>
    <w:p>
      <w:pPr>
        <w:pStyle w:val="23"/>
        <w:rPr>
          <w:rFonts w:ascii="Times New Roman"/>
        </w:rPr>
      </w:pPr>
      <w:r>
        <w:rPr>
          <w:rFonts w:ascii="Times New Roman"/>
        </w:rPr>
        <w:t xml:space="preserve">2. </w:t>
      </w:r>
      <w:r>
        <w:rPr>
          <w:rFonts w:hint="eastAsia" w:ascii="Times New Roman"/>
        </w:rPr>
        <w:t>前言；</w:t>
      </w:r>
    </w:p>
    <w:p>
      <w:pPr>
        <w:pStyle w:val="23"/>
        <w:rPr>
          <w:rFonts w:ascii="Times New Roman"/>
        </w:rPr>
      </w:pPr>
      <w:r>
        <w:rPr>
          <w:rFonts w:ascii="Times New Roman"/>
        </w:rPr>
        <w:t xml:space="preserve">3. </w:t>
      </w:r>
      <w:r>
        <w:rPr>
          <w:rFonts w:hint="eastAsia" w:ascii="Times New Roman"/>
        </w:rPr>
        <w:t>标准正文共设7章：范围、规范性引用文件、术语和定义、测量基本要求、测量方法、测量仪器的要求和测量结果的判定。</w:t>
      </w:r>
    </w:p>
    <w:p>
      <w:pPr>
        <w:pStyle w:val="23"/>
        <w:rPr>
          <w:rFonts w:hAnsi="宋体"/>
          <w:szCs w:val="21"/>
        </w:rPr>
      </w:pPr>
      <w:r>
        <w:rPr>
          <w:rFonts w:hint="eastAsia" w:ascii="Times New Roman"/>
        </w:rPr>
        <w:t>4</w:t>
      </w:r>
      <w:r>
        <w:rPr>
          <w:rFonts w:ascii="Times New Roman"/>
        </w:rPr>
        <w:t>.</w:t>
      </w:r>
      <w:r>
        <w:rPr>
          <w:rFonts w:hint="eastAsia" w:ascii="Times New Roman"/>
        </w:rPr>
        <w:t xml:space="preserve"> 附录。附录A为高压直流转换开关振荡特性测量</w:t>
      </w:r>
      <w:r>
        <w:rPr>
          <w:rFonts w:ascii="Times New Roman"/>
        </w:rPr>
        <w:t>算例</w:t>
      </w:r>
      <w:r>
        <w:rPr>
          <w:rFonts w:hint="eastAsia" w:ascii="Times New Roman"/>
        </w:rPr>
        <w:t>。</w:t>
      </w:r>
    </w:p>
    <w:p>
      <w:pPr>
        <w:widowControl/>
        <w:numPr>
          <w:ilvl w:val="1"/>
          <w:numId w:val="0"/>
        </w:numPr>
        <w:tabs>
          <w:tab w:val="left" w:pos="420"/>
        </w:tabs>
        <w:spacing w:before="312" w:beforeLines="100" w:after="312" w:afterLines="100"/>
        <w:outlineLvl w:val="1"/>
        <w:rPr>
          <w:rFonts w:ascii="黑体" w:eastAsia="黑体"/>
          <w:kern w:val="0"/>
          <w:szCs w:val="20"/>
        </w:rPr>
      </w:pPr>
      <w:r>
        <w:rPr>
          <w:rFonts w:hint="eastAsia" w:ascii="黑体" w:eastAsia="黑体"/>
          <w:kern w:val="0"/>
          <w:szCs w:val="20"/>
        </w:rPr>
        <w:t>6  条文说明</w:t>
      </w:r>
    </w:p>
    <w:p>
      <w:pPr>
        <w:pStyle w:val="23"/>
      </w:pPr>
      <w:r>
        <w:rPr>
          <w:rFonts w:hint="eastAsia"/>
        </w:rPr>
        <w:t>本标准主要条文分析和说明如下：</w:t>
      </w:r>
    </w:p>
    <w:p>
      <w:pPr>
        <w:pStyle w:val="23"/>
        <w:rPr>
          <w:rFonts w:ascii="Times New Roman"/>
        </w:rPr>
      </w:pPr>
      <w:r>
        <w:rPr>
          <w:rFonts w:ascii="Times New Roman"/>
        </w:rPr>
        <w:t>第1章明确适用范围为±1100kV及以下电压等级直流输电系统用机械式高压直流转换开关，包括金属回线转换开关、大地回线转换开关、中性母线开关和中性母线接地开关。</w:t>
      </w:r>
    </w:p>
    <w:p>
      <w:pPr>
        <w:pStyle w:val="23"/>
        <w:rPr>
          <w:rFonts w:ascii="Times New Roman"/>
        </w:rPr>
      </w:pPr>
      <w:r>
        <w:rPr>
          <w:rFonts w:ascii="Times New Roman"/>
        </w:rPr>
        <w:t>第3</w:t>
      </w:r>
      <w:r>
        <w:rPr>
          <w:rFonts w:hint="eastAsia"/>
        </w:rPr>
        <w:t>章规定了本标准的常用术语及其定义。其中，直流转换开关、有源型直流转换开关、无源型直流转换开关和开断装置均参考</w:t>
      </w:r>
      <w:r>
        <w:rPr>
          <w:rFonts w:hint="eastAsia" w:ascii="Times New Roman"/>
        </w:rPr>
        <w:t>《</w:t>
      </w:r>
      <w:r>
        <w:rPr>
          <w:rFonts w:ascii="Times New Roman"/>
        </w:rPr>
        <w:t>GB/T 25309-2010  高压直流转换开关</w:t>
      </w:r>
      <w:r>
        <w:rPr>
          <w:rFonts w:hint="eastAsia" w:ascii="Times New Roman"/>
        </w:rPr>
        <w:t>》中的术语定义。振荡回路是本标准的定义，它不同于《</w:t>
      </w:r>
      <w:r>
        <w:rPr>
          <w:rFonts w:ascii="Times New Roman"/>
        </w:rPr>
        <w:t>GB/T 25309-2010  高压直流转换开关</w:t>
      </w:r>
      <w:r>
        <w:rPr>
          <w:rFonts w:hint="eastAsia" w:ascii="Times New Roman"/>
        </w:rPr>
        <w:t>》标准中的辅助回路，不包括避雷器单元。</w:t>
      </w:r>
    </w:p>
    <w:p>
      <w:pPr>
        <w:pStyle w:val="23"/>
        <w:rPr>
          <w:rFonts w:ascii="Times New Roman"/>
        </w:rPr>
      </w:pPr>
      <w:r>
        <w:rPr>
          <w:rFonts w:ascii="Times New Roman"/>
        </w:rPr>
        <w:t>4.1</w:t>
      </w:r>
      <w:r>
        <w:rPr>
          <w:rFonts w:hint="eastAsia" w:ascii="Times New Roman"/>
        </w:rPr>
        <w:t>规定了直流转换开关振荡特性参数测量中应测量的相关参量。目前已经投运或者在建的换流站中的直流转换开关，不含有集中参数的电阻器，这里所测量的电阻参数为振荡回路的回路电阻，一般包含导线电阻、接触电阻等，该参数是回路中杂散电阻的总和。直流转换开关辅助回路中既存在含有空心电抗器，也存在不含空心电抗器的。利用本标准测量所得的振荡回路电感，为包含导线电感和空心电抗器电感的总和，因此对于辅助回路含空心电抗器的直流转换开关，其电感测量值一般大于空心电抗器的电感标称值。</w:t>
      </w:r>
    </w:p>
    <w:p>
      <w:pPr>
        <w:pStyle w:val="23"/>
        <w:rPr>
          <w:rFonts w:ascii="Times New Roman"/>
        </w:rPr>
      </w:pPr>
      <w:r>
        <w:rPr>
          <w:rFonts w:hint="eastAsia" w:ascii="Times New Roman"/>
        </w:rPr>
        <w:t>4.2规定了直流转换开关振荡特性参数测量的条件，该测量试验一般为直流转换开关的最后一项试验，必须在完成单体开关调试以后进行。</w:t>
      </w:r>
    </w:p>
    <w:p>
      <w:pPr>
        <w:pStyle w:val="23"/>
        <w:rPr>
          <w:rFonts w:ascii="Times New Roman"/>
        </w:rPr>
      </w:pPr>
      <w:r>
        <w:rPr>
          <w:rFonts w:hint="eastAsia" w:ascii="Times New Roman"/>
        </w:rPr>
        <w:t>4.3规定了直流转换开关振荡特性参数测量试验的周期。</w:t>
      </w:r>
    </w:p>
    <w:p>
      <w:pPr>
        <w:pStyle w:val="23"/>
        <w:rPr>
          <w:rFonts w:ascii="Times New Roman"/>
        </w:rPr>
      </w:pPr>
      <w:r>
        <w:rPr>
          <w:rFonts w:hint="eastAsia" w:ascii="Times New Roman"/>
        </w:rPr>
        <w:t>第5章详细规定了有源型直流转换开关和无源型直流转换开关的测量方法和计算方法。有源型直流转换开关和无源型直流转换开关的振荡特性参数测量方法是一致的，主要区别在于，有源型直流转换开关在测试前需要将其充电装置与振荡回路断开，避免试验设备对充电装置进行充电，影响测试结果。</w:t>
      </w:r>
    </w:p>
    <w:p>
      <w:pPr>
        <w:pStyle w:val="23"/>
        <w:rPr>
          <w:rFonts w:ascii="Times New Roman"/>
        </w:rPr>
      </w:pPr>
      <w:r>
        <w:rPr>
          <w:rFonts w:hint="eastAsia" w:ascii="Times New Roman"/>
        </w:rPr>
        <w:t>振荡回路参数详细推导和计算过程如下所示。</w:t>
      </w:r>
    </w:p>
    <w:p>
      <w:pPr>
        <w:pStyle w:val="23"/>
      </w:pPr>
      <w:r>
        <w:rPr>
          <w:rFonts w:hint="eastAsia"/>
        </w:rPr>
        <w:t>振荡回路中储能电容C充电后，闭合断路器，由于电容电压较低，避雷器呈高阻状态，几乎没有电流，那么，试验回路通过储能电容、空心电抗器和断路器构成放电回路，其等效电路图如图1所示，R、L和C分别为回路中总的等效电阻、电感和电容，K为理想开关。</w:t>
      </w:r>
    </w:p>
    <w:p>
      <w:pPr>
        <w:pStyle w:val="23"/>
        <w:jc w:val="center"/>
      </w:pPr>
      <w:r>
        <w:object>
          <v:shape id="_x0000_i1025" o:spt="75" type="#_x0000_t75" style="height:102.55pt;width:233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pStyle w:val="23"/>
        <w:jc w:val="center"/>
      </w:pPr>
      <w:r>
        <w:rPr>
          <w:rFonts w:hint="eastAsia"/>
        </w:rPr>
        <w:t>图4 放电回路等效电路图</w:t>
      </w:r>
    </w:p>
    <w:p>
      <w:pPr>
        <w:pStyle w:val="23"/>
      </w:pPr>
      <w:r>
        <w:rPr>
          <w:rFonts w:hint="eastAsia"/>
        </w:rPr>
        <w:t>当开关闭合后放电回路方程为</w:t>
      </w:r>
    </w:p>
    <w:p>
      <w:pPr>
        <w:pStyle w:val="23"/>
        <w:jc w:val="right"/>
      </w:pPr>
      <w:r>
        <w:object>
          <v:shape id="_x0000_i1026" o:spt="75" type="#_x0000_t75" style="height:31.25pt;width:122.9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rPr>
        <w:t xml:space="preserve">                    （1）</w:t>
      </w:r>
    </w:p>
    <w:p>
      <w:pPr>
        <w:pStyle w:val="23"/>
      </w:pPr>
      <w:r>
        <w:rPr>
          <w:rFonts w:hint="eastAsia"/>
        </w:rPr>
        <w:t>求解该方程得</w:t>
      </w:r>
    </w:p>
    <w:p>
      <w:pPr>
        <w:pStyle w:val="23"/>
        <w:jc w:val="right"/>
      </w:pPr>
      <w:r>
        <w:object>
          <v:shape id="_x0000_i1027" o:spt="75" type="#_x0000_t75" style="height:33.95pt;width:86.25pt;" o:ole="t" filled="f" o:preferrelative="t" stroked="f" coordsize="21600,21600">
            <v:path/>
            <v:fill on="f" focussize="0,0"/>
            <v:stroke on="f" joinstyle="miter"/>
            <v:imagedata r:id="rId13" o:title=""/>
            <o:lock v:ext="edit" aspectratio="t"/>
            <w10:wrap type="none"/>
            <w10:anchorlock/>
          </v:shape>
          <o:OLEObject Type="Embed" ProgID="Equation.KSEE3" ShapeID="_x0000_i1027" DrawAspect="Content" ObjectID="_1468075727" r:id="rId12">
            <o:LockedField>false</o:LockedField>
          </o:OLEObject>
        </w:object>
      </w:r>
      <w:r>
        <w:rPr>
          <w:rFonts w:hint="eastAsia"/>
        </w:rPr>
        <w:t xml:space="preserve">                        （2）</w:t>
      </w:r>
    </w:p>
    <w:p>
      <w:pPr>
        <w:pStyle w:val="23"/>
      </w:pPr>
      <w:r>
        <w:rPr>
          <w:rFonts w:hint="eastAsia"/>
        </w:rPr>
        <w:t>式中</w:t>
      </w:r>
    </w:p>
    <w:p>
      <w:pPr>
        <w:pStyle w:val="23"/>
        <w:jc w:val="right"/>
      </w:pPr>
      <w:r>
        <w:object>
          <v:shape id="_x0000_i1028" o:spt="75" type="#_x0000_t75" style="height:31.25pt;width:36.7pt;" o:ole="t" filled="f" o:preferrelative="t" stroked="f" coordsize="21600,21600">
            <v:path/>
            <v:fill on="f" focussize="0,0"/>
            <v:stroke on="f" joinstyle="miter"/>
            <v:imagedata r:id="rId15" o:title=""/>
            <o:lock v:ext="edit" aspectratio="t"/>
            <w10:wrap type="none"/>
            <w10:anchorlock/>
          </v:shape>
          <o:OLEObject Type="Embed" ProgID="Equation.KSEE3" ShapeID="_x0000_i1028" DrawAspect="Content" ObjectID="_1468075728" r:id="rId14">
            <o:LockedField>false</o:LockedField>
          </o:OLEObject>
        </w:object>
      </w:r>
      <w:r>
        <w:rPr>
          <w:rFonts w:hint="eastAsia"/>
        </w:rPr>
        <w:t xml:space="preserve">                                （3）</w:t>
      </w:r>
    </w:p>
    <w:p>
      <w:pPr>
        <w:pStyle w:val="23"/>
        <w:jc w:val="right"/>
      </w:pPr>
      <w:r>
        <w:rPr>
          <w:rFonts w:hint="eastAsia"/>
        </w:rPr>
        <w:t xml:space="preserve"> </w:t>
      </w:r>
      <w:r>
        <w:object>
          <v:shape id="_x0000_i1029" o:spt="75" type="#_x0000_t75" style="height:31.25pt;width:82.85pt;" o:ole="t" filled="f" o:preferrelative="t" stroked="f" coordsize="21600,21600">
            <v:path/>
            <v:fill on="f" focussize="0,0"/>
            <v:stroke on="f" joinstyle="miter"/>
            <v:imagedata r:id="rId17" o:title=""/>
            <o:lock v:ext="edit" aspectratio="t"/>
            <w10:wrap type="none"/>
            <w10:anchorlock/>
          </v:shape>
          <o:OLEObject Type="Embed" ProgID="Equation.KSEE3" ShapeID="_x0000_i1029" DrawAspect="Content" ObjectID="_1468075729" r:id="rId16">
            <o:LockedField>false</o:LockedField>
          </o:OLEObject>
        </w:object>
      </w:r>
      <w:r>
        <w:rPr>
          <w:rFonts w:hint="eastAsia"/>
        </w:rPr>
        <w:t xml:space="preserve">                         （4）</w:t>
      </w:r>
    </w:p>
    <w:p>
      <w:pPr>
        <w:pStyle w:val="23"/>
      </w:pPr>
      <w:r>
        <w:rPr>
          <w:rFonts w:hint="eastAsia"/>
        </w:rPr>
        <w:t>令</w:t>
      </w:r>
      <w:r>
        <w:object>
          <v:shape id="_x0000_i1030" o:spt="75" type="#_x0000_t75" style="height:31.25pt;width:33.95pt;" o:ole="t" filled="f" o:preferrelative="t" stroked="f" coordsize="21600,21600">
            <v:path/>
            <v:fill on="f" focussize="0,0"/>
            <v:stroke on="f" joinstyle="miter"/>
            <v:imagedata r:id="rId19" o:title=""/>
            <o:lock v:ext="edit" aspectratio="t"/>
            <w10:wrap type="none"/>
            <w10:anchorlock/>
          </v:shape>
          <o:OLEObject Type="Embed" ProgID="Equation.KSEE3" ShapeID="_x0000_i1030" DrawAspect="Content" ObjectID="_1468075730" r:id="rId18">
            <o:LockedField>false</o:LockedField>
          </o:OLEObject>
        </w:object>
      </w:r>
      <w:r>
        <w:rPr>
          <w:rFonts w:hint="eastAsia"/>
        </w:rPr>
        <w:t>，则由公式（3）可求出第</w:t>
      </w:r>
      <w:r>
        <w:rPr>
          <w:rFonts w:hint="eastAsia"/>
          <w:i/>
        </w:rPr>
        <w:t>n</w:t>
      </w:r>
      <w:r>
        <w:rPr>
          <w:rFonts w:hint="eastAsia"/>
        </w:rPr>
        <w:t>个电流峰值</w:t>
      </w:r>
      <w:r>
        <w:rPr>
          <w:rFonts w:hint="eastAsia"/>
          <w:i/>
        </w:rPr>
        <w:t>i</w:t>
      </w:r>
      <w:r>
        <w:rPr>
          <w:rFonts w:hint="eastAsia"/>
          <w:vertAlign w:val="subscript"/>
        </w:rPr>
        <w:t>pn</w:t>
      </w:r>
      <w:r>
        <w:rPr>
          <w:rFonts w:hint="eastAsia"/>
        </w:rPr>
        <w:t>所对应的时间</w:t>
      </w:r>
      <w:r>
        <w:rPr>
          <w:rFonts w:hint="eastAsia"/>
          <w:i/>
        </w:rPr>
        <w:t>t</w:t>
      </w:r>
      <w:r>
        <w:rPr>
          <w:rFonts w:hint="eastAsia"/>
          <w:vertAlign w:val="subscript"/>
        </w:rPr>
        <w:t>pn</w:t>
      </w:r>
    </w:p>
    <w:p>
      <w:pPr>
        <w:pStyle w:val="23"/>
        <w:jc w:val="right"/>
      </w:pPr>
      <w:r>
        <w:object>
          <v:shape id="_x0000_i1031" o:spt="75" type="#_x0000_t75" style="height:31.25pt;width:78.8pt;" o:ole="t" filled="f" o:preferrelative="t" stroked="f" coordsize="21600,21600">
            <v:path/>
            <v:fill on="f" focussize="0,0"/>
            <v:stroke on="f" joinstyle="miter"/>
            <v:imagedata r:id="rId21" o:title=""/>
            <o:lock v:ext="edit" aspectratio="t"/>
            <w10:wrap type="none"/>
            <w10:anchorlock/>
          </v:shape>
          <o:OLEObject Type="Embed" ProgID="Equation.KSEE3" ShapeID="_x0000_i1031" DrawAspect="Content" ObjectID="_1468075731" r:id="rId20">
            <o:LockedField>false</o:LockedField>
          </o:OLEObject>
        </w:object>
      </w:r>
      <w:r>
        <w:rPr>
          <w:rFonts w:hint="eastAsia"/>
        </w:rPr>
        <w:t xml:space="preserve">                          （5）</w:t>
      </w:r>
    </w:p>
    <w:p>
      <w:pPr>
        <w:pStyle w:val="23"/>
      </w:pPr>
      <w:r>
        <w:rPr>
          <w:rFonts w:hint="eastAsia"/>
        </w:rPr>
        <w:t>由于t=0时</w:t>
      </w:r>
      <w:r>
        <w:rPr>
          <w:rFonts w:hint="eastAsia"/>
          <w:i/>
        </w:rPr>
        <w:t>i</w:t>
      </w:r>
      <w:r>
        <w:rPr>
          <w:rFonts w:hint="eastAsia"/>
        </w:rPr>
        <w:t>=0，因此电流曲线中第n个</w:t>
      </w:r>
      <w:r>
        <w:rPr>
          <w:rFonts w:hint="eastAsia"/>
          <w:i/>
        </w:rPr>
        <w:t>i</w:t>
      </w:r>
      <w:r>
        <w:rPr>
          <w:rFonts w:hint="eastAsia"/>
        </w:rPr>
        <w:t>=0的点所对应的时间</w:t>
      </w:r>
      <w:r>
        <w:rPr>
          <w:rFonts w:hint="eastAsia"/>
          <w:i/>
        </w:rPr>
        <w:t>t</w:t>
      </w:r>
      <w:r>
        <w:rPr>
          <w:rFonts w:hint="eastAsia"/>
          <w:vertAlign w:val="subscript"/>
        </w:rPr>
        <w:t>cn</w:t>
      </w:r>
      <w:r>
        <w:rPr>
          <w:rFonts w:hint="eastAsia"/>
        </w:rPr>
        <w:t>必然满足如下关系</w:t>
      </w:r>
    </w:p>
    <w:p>
      <w:pPr>
        <w:pStyle w:val="23"/>
        <w:jc w:val="right"/>
      </w:pPr>
      <w:r>
        <w:object>
          <v:shape id="_x0000_i1032" o:spt="75" type="#_x0000_t75" style="height:33.95pt;width:40.75pt;" o:ole="t" filled="f" o:preferrelative="t" stroked="f" coordsize="21600,21600">
            <v:path/>
            <v:fill on="f" focussize="0,0"/>
            <v:stroke on="f" joinstyle="miter"/>
            <v:imagedata r:id="rId23" o:title=""/>
            <o:lock v:ext="edit" aspectratio="t"/>
            <w10:wrap type="none"/>
            <w10:anchorlock/>
          </v:shape>
          <o:OLEObject Type="Embed" ProgID="Equation.KSEE3" ShapeID="_x0000_i1032" DrawAspect="Content" ObjectID="_1468075732" r:id="rId22">
            <o:LockedField>false</o:LockedField>
          </o:OLEObject>
        </w:object>
      </w:r>
      <w:r>
        <w:rPr>
          <w:rFonts w:hint="eastAsia"/>
        </w:rPr>
        <w:t xml:space="preserve">                                （6）</w:t>
      </w:r>
    </w:p>
    <w:p>
      <w:pPr>
        <w:pStyle w:val="23"/>
      </w:pPr>
      <w:r>
        <w:rPr>
          <w:rFonts w:hint="eastAsia"/>
        </w:rPr>
        <w:t>将公式（6）代入公式（5）可得</w:t>
      </w:r>
    </w:p>
    <w:p>
      <w:pPr>
        <w:pStyle w:val="23"/>
        <w:jc w:val="right"/>
      </w:pPr>
      <w:r>
        <w:object>
          <v:shape id="_x0000_i1033" o:spt="75" type="#_x0000_t75" style="height:34.65pt;width:87.6pt;" o:ole="t" filled="f" o:preferrelative="t" stroked="f" coordsize="21600,21600">
            <v:path/>
            <v:fill on="f" focussize="0,0"/>
            <v:stroke on="f" joinstyle="miter"/>
            <v:imagedata r:id="rId25" o:title=""/>
            <o:lock v:ext="edit" aspectratio="t"/>
            <w10:wrap type="none"/>
            <w10:anchorlock/>
          </v:shape>
          <o:OLEObject Type="Embed" ProgID="Equation.KSEE3" ShapeID="_x0000_i1033" DrawAspect="Content" ObjectID="_1468075733" r:id="rId24">
            <o:LockedField>false</o:LockedField>
          </o:OLEObject>
        </w:object>
      </w:r>
      <w:r>
        <w:rPr>
          <w:rFonts w:hint="eastAsia"/>
        </w:rPr>
        <w:t xml:space="preserve">                        （7）</w:t>
      </w:r>
    </w:p>
    <w:p>
      <w:pPr>
        <w:pStyle w:val="23"/>
      </w:pPr>
      <w:r>
        <w:rPr>
          <w:rFonts w:hint="eastAsia"/>
        </w:rPr>
        <w:t>另外</w:t>
      </w:r>
      <w:r>
        <w:rPr>
          <w:i/>
        </w:rPr>
        <w:t></w:t>
      </w:r>
      <w:r>
        <w:rPr>
          <w:rFonts w:hint="eastAsia"/>
        </w:rPr>
        <w:t>也可以由放电电流中的两个峰值求出，设</w:t>
      </w:r>
      <w:r>
        <w:rPr>
          <w:rFonts w:hint="eastAsia"/>
          <w:i/>
        </w:rPr>
        <w:t>i</w:t>
      </w:r>
      <w:r>
        <w:rPr>
          <w:rFonts w:hint="eastAsia"/>
          <w:vertAlign w:val="subscript"/>
        </w:rPr>
        <w:t>pm</w:t>
      </w:r>
      <w:r>
        <w:rPr>
          <w:rFonts w:hint="eastAsia"/>
        </w:rPr>
        <w:t>和为两个不相同的峰值电流，那么由公式（2）可以得出</w:t>
      </w:r>
    </w:p>
    <w:p>
      <w:pPr>
        <w:pStyle w:val="23"/>
        <w:jc w:val="right"/>
      </w:pPr>
      <w:r>
        <w:object>
          <v:shape id="_x0000_i1034" o:spt="75" type="#_x0000_t75" style="height:51.6pt;width:63.15pt;" o:ole="t" filled="f" o:preferrelative="t" stroked="f" coordsize="21600,21600">
            <v:path/>
            <v:fill on="f" focussize="0,0"/>
            <v:stroke on="f" joinstyle="miter"/>
            <v:imagedata r:id="rId27" o:title=""/>
            <o:lock v:ext="edit" aspectratio="t"/>
            <w10:wrap type="none"/>
            <w10:anchorlock/>
          </v:shape>
          <o:OLEObject Type="Embed" ProgID="Equation.KSEE3" ShapeID="_x0000_i1034" DrawAspect="Content" ObjectID="_1468075734" r:id="rId26">
            <o:LockedField>false</o:LockedField>
          </o:OLEObject>
        </w:object>
      </w:r>
      <w:r>
        <w:rPr>
          <w:rFonts w:hint="eastAsia"/>
        </w:rPr>
        <w:t xml:space="preserve">                            （8）</w:t>
      </w:r>
    </w:p>
    <w:p>
      <w:pPr>
        <w:pStyle w:val="23"/>
      </w:pPr>
      <w:r>
        <w:rPr>
          <w:rFonts w:hint="eastAsia"/>
        </w:rPr>
        <w:t>不妨设m=1，n=2，再将公式（8）代入代入公式（4）和公式（3）可以分别求出电感</w:t>
      </w:r>
      <w:r>
        <w:rPr>
          <w:rFonts w:hint="eastAsia"/>
          <w:i/>
        </w:rPr>
        <w:t>L</w:t>
      </w:r>
      <w:r>
        <w:rPr>
          <w:rFonts w:hint="eastAsia"/>
        </w:rPr>
        <w:t>和电阻</w:t>
      </w:r>
      <w:r>
        <w:rPr>
          <w:rFonts w:hint="eastAsia"/>
          <w:i/>
        </w:rPr>
        <w:t>R</w:t>
      </w:r>
      <w:r>
        <w:rPr>
          <w:rFonts w:hint="eastAsia"/>
        </w:rPr>
        <w:t>，其表达式分别为</w:t>
      </w:r>
    </w:p>
    <w:p>
      <w:pPr>
        <w:pStyle w:val="23"/>
        <w:jc w:val="right"/>
      </w:pPr>
      <w:r>
        <w:object>
          <v:shape id="_x0000_i1035" o:spt="75" type="#_x0000_t75" style="height:36.7pt;width:120.9pt;" o:ole="t" filled="f" o:preferrelative="t" stroked="f" coordsize="21600,21600">
            <v:path/>
            <v:fill on="f" focussize="0,0"/>
            <v:stroke on="f" joinstyle="miter"/>
            <v:imagedata r:id="rId29" o:title=""/>
            <o:lock v:ext="edit" aspectratio="t"/>
            <w10:wrap type="none"/>
            <w10:anchorlock/>
          </v:shape>
          <o:OLEObject Type="Embed" ProgID="Equation.KSEE3" ShapeID="_x0000_i1035" DrawAspect="Content" ObjectID="_1468075735" r:id="rId28">
            <o:LockedField>false</o:LockedField>
          </o:OLEObject>
        </w:object>
      </w:r>
      <w:r>
        <w:rPr>
          <w:rFonts w:hint="eastAsia"/>
        </w:rPr>
        <w:t xml:space="preserve">                  （9）</w:t>
      </w:r>
    </w:p>
    <w:p>
      <w:pPr>
        <w:pStyle w:val="23"/>
        <w:jc w:val="right"/>
        <w:rPr>
          <w:rFonts w:ascii="Times New Roman"/>
          <w:color w:val="FF0000"/>
        </w:rPr>
      </w:pPr>
      <w:r>
        <w:rPr>
          <w:rFonts w:ascii="Times New Roman"/>
        </w:rPr>
        <w:object>
          <v:shape id="_x0000_i1036" o:spt="75" type="#_x0000_t75" style="height:36pt;width:67.25pt;" o:ole="t" filled="f" o:preferrelative="t" stroked="f" coordsize="21600,21600">
            <v:path/>
            <v:fill on="f" focussize="0,0"/>
            <v:stroke on="f" joinstyle="miter"/>
            <v:imagedata r:id="rId31" o:title=""/>
            <o:lock v:ext="edit" aspectratio="t"/>
            <w10:wrap type="none"/>
            <w10:anchorlock/>
          </v:shape>
          <o:OLEObject Type="Embed" ProgID="Equation.KSEE3" ShapeID="_x0000_i1036" DrawAspect="Content" ObjectID="_1468075736" r:id="rId30">
            <o:LockedField>false</o:LockedField>
          </o:OLEObject>
        </w:object>
      </w:r>
      <w:r>
        <w:rPr>
          <w:rFonts w:hint="eastAsia" w:ascii="Times New Roman"/>
        </w:rPr>
        <w:t xml:space="preserve">                          （10）</w:t>
      </w:r>
    </w:p>
    <w:p>
      <w:pPr>
        <w:pStyle w:val="23"/>
        <w:rPr>
          <w:rFonts w:ascii="Times New Roman"/>
        </w:rPr>
      </w:pPr>
      <w:r>
        <w:rPr>
          <w:rFonts w:hint="eastAsia" w:ascii="Times New Roman"/>
        </w:rPr>
        <w:t>6.1规定了试验电源的要求，试验电源采用直流电源，若采用交流电源将无充放电的过程。该项试验对电源质量要求较低，因为充电电压的幅值不影响测试计算结果。</w:t>
      </w:r>
    </w:p>
    <w:p>
      <w:pPr>
        <w:pStyle w:val="23"/>
        <w:rPr>
          <w:rFonts w:ascii="Times New Roman"/>
        </w:rPr>
      </w:pPr>
      <w:r>
        <w:rPr>
          <w:rFonts w:hint="eastAsia" w:ascii="Times New Roman"/>
        </w:rPr>
        <w:t>6.2规定了电流测量装置的要求，因为振荡回路电容较大，而回路电阻和电感较小，当开断装置合闸时，其放电电流较大，一般能达到千安级别。因此，电流测量装置检测上限应不低于1kA。目前，已完成试验的直流转换开振荡回路的周期一般为4kHz~5kHz。为保证测量的精度，要求电流测量装置频率响应带宽不低于</w:t>
      </w:r>
      <w:r>
        <w:rPr>
          <w:rFonts w:ascii="Times New Roman"/>
        </w:rPr>
        <w:t>1MHz</w:t>
      </w:r>
      <w:r>
        <w:rPr>
          <w:rFonts w:hint="eastAsia" w:ascii="Times New Roman"/>
        </w:rPr>
        <w:t>。</w:t>
      </w:r>
    </w:p>
    <w:p>
      <w:pPr>
        <w:pStyle w:val="23"/>
        <w:rPr>
          <w:rFonts w:ascii="Times New Roman"/>
        </w:rPr>
      </w:pPr>
      <w:r>
        <w:rPr>
          <w:rFonts w:hint="eastAsia" w:ascii="Times New Roman"/>
        </w:rPr>
        <w:t>6.4规定了电容测量装置的要求，目前直流转换开关辅助回路中使用的电容器组，一般为22</w:t>
      </w:r>
      <w:r>
        <w:rPr>
          <w:rFonts w:ascii="Symbol" w:hAnsi="Symbol"/>
        </w:rPr>
        <w:t></w:t>
      </w:r>
      <w:r>
        <w:rPr>
          <w:rFonts w:hint="eastAsia" w:ascii="Times New Roman"/>
        </w:rPr>
        <w:t>F或者77</w:t>
      </w:r>
      <w:r>
        <w:rPr>
          <w:rFonts w:ascii="Symbol" w:hAnsi="Symbol"/>
        </w:rPr>
        <w:t></w:t>
      </w:r>
      <w:r>
        <w:rPr>
          <w:rFonts w:hint="eastAsia" w:ascii="Times New Roman"/>
        </w:rPr>
        <w:t>F，而单个电容的电容值也在20</w:t>
      </w:r>
      <w:r>
        <w:rPr>
          <w:rFonts w:ascii="Symbol" w:hAnsi="Symbol"/>
        </w:rPr>
        <w:t></w:t>
      </w:r>
      <w:r>
        <w:rPr>
          <w:rFonts w:hint="eastAsia" w:ascii="Times New Roman"/>
        </w:rPr>
        <w:t>F左右。因此，在现场很难在额定电压下对其进行测量。若单个电容存在问题，其电容器组的值将发生较大变化，该变化值与电路连接拓扑结构有关。在现场利用数字电容表测量即可，能够有效发现电容器组联结或单体电容存在的问题。</w:t>
      </w:r>
    </w:p>
    <w:p>
      <w:pPr>
        <w:widowControl/>
        <w:ind w:firstLine="420" w:firstLineChars="200"/>
        <w:rPr>
          <w:szCs w:val="20"/>
        </w:rPr>
      </w:pPr>
      <w:r>
        <w:rPr>
          <w:rFonts w:hint="eastAsia"/>
        </w:rPr>
        <w:t>第7章规定了测试结果的判断方法，该判断方法为现场多次试验结果的总结，与厂家提供的产品技术规范有关，因此，试验前，应从厂家或施工单位获取产品技术规范要求。</w:t>
      </w:r>
    </w:p>
    <w:p>
      <w:pPr>
        <w:pStyle w:val="23"/>
        <w:jc w:val="left"/>
        <w:rPr>
          <w:rFonts w:ascii="Times New Roman" w:hAnsi="宋体"/>
          <w:color w:val="000000"/>
          <w:kern w:val="2"/>
        </w:rPr>
      </w:pPr>
    </w:p>
    <w:p>
      <w:pPr>
        <w:pStyle w:val="23"/>
        <w:ind w:firstLine="560"/>
        <w:jc w:val="left"/>
        <w:rPr>
          <w:rFonts w:ascii="黑体" w:hAnsi="黑体" w:eastAsia="黑体"/>
          <w:sz w:val="28"/>
          <w:szCs w:val="28"/>
        </w:rPr>
      </w:pPr>
    </w:p>
    <w:p>
      <w:pPr>
        <w:pStyle w:val="23"/>
      </w:pPr>
    </w:p>
    <w:p>
      <w:pPr>
        <w:pStyle w:val="128"/>
        <w:framePr w:y="1"/>
      </w:pPr>
      <w:r>
        <w:t>_________________________________</w:t>
      </w:r>
    </w:p>
    <w:p>
      <w:pPr>
        <w:pStyle w:val="23"/>
      </w:pPr>
    </w:p>
    <w:p>
      <w:pPr>
        <w:pStyle w:val="23"/>
      </w:pPr>
    </w:p>
    <w:p>
      <w:pPr>
        <w:pStyle w:val="23"/>
        <w:ind w:firstLine="0" w:firstLineChars="0"/>
        <w:jc w:val="center"/>
        <w:rPr>
          <w:szCs w:val="21"/>
        </w:rPr>
      </w:pPr>
      <w:r>
        <w:rPr>
          <w:rFonts w:hint="eastAsia" w:hAnsi="宋体"/>
          <w:szCs w:val="21"/>
        </w:rPr>
        <w:t>【终结线居中编排，其后不应再有标准任何内容，终结线不应单独成页。】</w:t>
      </w:r>
    </w:p>
    <w:sectPr>
      <w:footerReference r:id="rId6" w:type="default"/>
      <w:pgSz w:w="10433" w:h="14742"/>
      <w:pgMar w:top="1134" w:right="1134" w:bottom="1134" w:left="1134" w:header="737" w:footer="737"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0" w:rightChars="0"/>
    </w:pPr>
    <w:r>
      <w:fldChar w:fldCharType="begin"/>
    </w:r>
    <w:r>
      <w:instrText xml:space="preserve"> PAGE   \* MERGEFORMAT </w:instrText>
    </w:r>
    <w:r>
      <w:fldChar w:fldCharType="separate"/>
    </w:r>
    <w:r>
      <w:rPr>
        <w:lang w:val="zh-CN"/>
      </w:rPr>
      <w:t>15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0" w:rightChars="0"/>
      <w:jc w:val="left"/>
    </w:pPr>
    <w:r>
      <w:fldChar w:fldCharType="begin"/>
    </w:r>
    <w:r>
      <w:instrText xml:space="preserve"> PAGE   \* MERGEFORMAT </w:instrText>
    </w:r>
    <w:r>
      <w:fldChar w:fldCharType="separate"/>
    </w:r>
    <w:r>
      <w:rPr>
        <w:lang w:val="zh-CN"/>
      </w:rPr>
      <w:t>16</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0" w:rightChars="0"/>
    </w:pPr>
    <w:r>
      <w:fldChar w:fldCharType="begin"/>
    </w:r>
    <w:r>
      <w:instrText xml:space="preserve"> PAGE   \* MERGEFORMAT </w:instrText>
    </w:r>
    <w:r>
      <w:fldChar w:fldCharType="separate"/>
    </w:r>
    <w:r>
      <w:rPr>
        <w:lang w:val="zh-CN"/>
      </w:rPr>
      <w:t>15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jc w:val="right"/>
    </w:pPr>
    <w:r>
      <w:t>Q/</w:t>
    </w:r>
    <w:r>
      <w:rPr>
        <w:rFonts w:hint="eastAsia"/>
      </w:rPr>
      <w:t>GDW</w:t>
    </w:r>
    <w:r>
      <w:t xml:space="preserve"> XXXX</w:t>
    </w:r>
    <w:r>
      <w:rPr>
        <w:rFonts w:hint="eastAsia"/>
      </w:rPr>
      <w:t>.3</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
    <w:nsid w:val="0D983844"/>
    <w:multiLevelType w:val="multilevel"/>
    <w:tmpl w:val="0D983844"/>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1CEA6BF1"/>
    <w:multiLevelType w:val="multilevel"/>
    <w:tmpl w:val="1CEA6BF1"/>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1FC91163"/>
    <w:multiLevelType w:val="multilevel"/>
    <w:tmpl w:val="1FC91163"/>
    <w:lvl w:ilvl="0" w:tentative="0">
      <w:start w:val="1"/>
      <w:numFmt w:val="decimal"/>
      <w:pStyle w:val="44"/>
      <w:suff w:val="nothing"/>
      <w:lvlText w:val="%1　"/>
      <w:lvlJc w:val="left"/>
      <w:pPr>
        <w:ind w:left="426"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5"/>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2827D5B"/>
    <w:multiLevelType w:val="multilevel"/>
    <w:tmpl w:val="22827D5B"/>
    <w:lvl w:ilvl="0" w:tentative="0">
      <w:start w:val="1"/>
      <w:numFmt w:val="none"/>
      <w:pStyle w:val="63"/>
      <w:suff w:val="nothing"/>
      <w:lvlText w:val="%1注："/>
      <w:lvlJc w:val="left"/>
      <w:pPr>
        <w:ind w:left="789"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8583882"/>
    <w:multiLevelType w:val="multilevel"/>
    <w:tmpl w:val="38583882"/>
    <w:lvl w:ilvl="0" w:tentative="0">
      <w:start w:val="1"/>
      <w:numFmt w:val="lowerLetter"/>
      <w:pStyle w:val="5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0">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809657E"/>
    <w:multiLevelType w:val="multilevel"/>
    <w:tmpl w:val="6809657E"/>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4">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
    <w:nsid w:val="6DBF04F4"/>
    <w:multiLevelType w:val="multilevel"/>
    <w:tmpl w:val="6DBF04F4"/>
    <w:lvl w:ilvl="0" w:tentative="0">
      <w:start w:val="1"/>
      <w:numFmt w:val="none"/>
      <w:pStyle w:val="5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0"/>
  </w:num>
  <w:num w:numId="6">
    <w:abstractNumId w:val="7"/>
  </w:num>
  <w:num w:numId="7">
    <w:abstractNumId w:val="15"/>
  </w:num>
  <w:num w:numId="8">
    <w:abstractNumId w:val="2"/>
  </w:num>
  <w:num w:numId="9">
    <w:abstractNumId w:val="9"/>
  </w:num>
  <w:num w:numId="10">
    <w:abstractNumId w:val="4"/>
  </w:num>
  <w:num w:numId="11">
    <w:abstractNumId w:val="13"/>
  </w:num>
  <w:num w:numId="12">
    <w:abstractNumId w:val="12"/>
  </w:num>
  <w:num w:numId="13">
    <w:abstractNumId w:val="10"/>
  </w:num>
  <w:num w:numId="14">
    <w:abstractNumId w:val="14"/>
  </w:num>
  <w:num w:numId="15">
    <w:abstractNumId w:val="5"/>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586F"/>
    <w:rsid w:val="0001012A"/>
    <w:rsid w:val="000107C1"/>
    <w:rsid w:val="00013D86"/>
    <w:rsid w:val="00013E02"/>
    <w:rsid w:val="000159E8"/>
    <w:rsid w:val="00020C5F"/>
    <w:rsid w:val="0002143C"/>
    <w:rsid w:val="00025A65"/>
    <w:rsid w:val="00026C31"/>
    <w:rsid w:val="00027280"/>
    <w:rsid w:val="000320A7"/>
    <w:rsid w:val="00035925"/>
    <w:rsid w:val="00067813"/>
    <w:rsid w:val="00067CDF"/>
    <w:rsid w:val="00074FBE"/>
    <w:rsid w:val="00080D98"/>
    <w:rsid w:val="00083A09"/>
    <w:rsid w:val="00085AE3"/>
    <w:rsid w:val="0009005E"/>
    <w:rsid w:val="00092187"/>
    <w:rsid w:val="00092857"/>
    <w:rsid w:val="00092D9B"/>
    <w:rsid w:val="000A20A9"/>
    <w:rsid w:val="000A48B1"/>
    <w:rsid w:val="000B3143"/>
    <w:rsid w:val="000C6389"/>
    <w:rsid w:val="000C6B05"/>
    <w:rsid w:val="000C6DD6"/>
    <w:rsid w:val="000C73D4"/>
    <w:rsid w:val="000D2CF3"/>
    <w:rsid w:val="000D3D4C"/>
    <w:rsid w:val="000D3FF2"/>
    <w:rsid w:val="000D4F51"/>
    <w:rsid w:val="000D718B"/>
    <w:rsid w:val="000E0C46"/>
    <w:rsid w:val="000F030C"/>
    <w:rsid w:val="000F129C"/>
    <w:rsid w:val="000F3E8F"/>
    <w:rsid w:val="000F4B89"/>
    <w:rsid w:val="000F4C55"/>
    <w:rsid w:val="000F7685"/>
    <w:rsid w:val="001056DE"/>
    <w:rsid w:val="0010608A"/>
    <w:rsid w:val="001073C4"/>
    <w:rsid w:val="001124C0"/>
    <w:rsid w:val="001177B8"/>
    <w:rsid w:val="001217F8"/>
    <w:rsid w:val="0013175F"/>
    <w:rsid w:val="00143556"/>
    <w:rsid w:val="00150406"/>
    <w:rsid w:val="001512B4"/>
    <w:rsid w:val="001620A5"/>
    <w:rsid w:val="00163E8C"/>
    <w:rsid w:val="00164E53"/>
    <w:rsid w:val="0016699D"/>
    <w:rsid w:val="00170E06"/>
    <w:rsid w:val="00175159"/>
    <w:rsid w:val="00176208"/>
    <w:rsid w:val="0018211B"/>
    <w:rsid w:val="001840D3"/>
    <w:rsid w:val="001900F8"/>
    <w:rsid w:val="00191258"/>
    <w:rsid w:val="00192680"/>
    <w:rsid w:val="00193037"/>
    <w:rsid w:val="00193A2C"/>
    <w:rsid w:val="00193CB1"/>
    <w:rsid w:val="001A015A"/>
    <w:rsid w:val="001A1464"/>
    <w:rsid w:val="001A217F"/>
    <w:rsid w:val="001A288E"/>
    <w:rsid w:val="001A6328"/>
    <w:rsid w:val="001B6DC2"/>
    <w:rsid w:val="001C149C"/>
    <w:rsid w:val="001C21AC"/>
    <w:rsid w:val="001C47BA"/>
    <w:rsid w:val="001C59EA"/>
    <w:rsid w:val="001D406C"/>
    <w:rsid w:val="001D41EE"/>
    <w:rsid w:val="001E0380"/>
    <w:rsid w:val="001E13B1"/>
    <w:rsid w:val="001E1F72"/>
    <w:rsid w:val="001F3A19"/>
    <w:rsid w:val="002022F1"/>
    <w:rsid w:val="002044AB"/>
    <w:rsid w:val="002059AA"/>
    <w:rsid w:val="00211E0D"/>
    <w:rsid w:val="00220A0C"/>
    <w:rsid w:val="00221579"/>
    <w:rsid w:val="00234467"/>
    <w:rsid w:val="00237D8D"/>
    <w:rsid w:val="00241DA2"/>
    <w:rsid w:val="00245520"/>
    <w:rsid w:val="00247FEE"/>
    <w:rsid w:val="00250E7D"/>
    <w:rsid w:val="002565D5"/>
    <w:rsid w:val="00256E50"/>
    <w:rsid w:val="002622C0"/>
    <w:rsid w:val="00273E3C"/>
    <w:rsid w:val="002778AE"/>
    <w:rsid w:val="0028269A"/>
    <w:rsid w:val="00283590"/>
    <w:rsid w:val="00286973"/>
    <w:rsid w:val="00294E70"/>
    <w:rsid w:val="002A100B"/>
    <w:rsid w:val="002A1272"/>
    <w:rsid w:val="002A1924"/>
    <w:rsid w:val="002A7420"/>
    <w:rsid w:val="002B0F12"/>
    <w:rsid w:val="002B1308"/>
    <w:rsid w:val="002B4554"/>
    <w:rsid w:val="002C520D"/>
    <w:rsid w:val="002C538C"/>
    <w:rsid w:val="002C72D8"/>
    <w:rsid w:val="002D11FA"/>
    <w:rsid w:val="002D3D08"/>
    <w:rsid w:val="002D7AFA"/>
    <w:rsid w:val="002E0DDF"/>
    <w:rsid w:val="002E1195"/>
    <w:rsid w:val="002E2906"/>
    <w:rsid w:val="002E363B"/>
    <w:rsid w:val="002E5099"/>
    <w:rsid w:val="002E5635"/>
    <w:rsid w:val="002E64C3"/>
    <w:rsid w:val="002E6A2C"/>
    <w:rsid w:val="002F1D8C"/>
    <w:rsid w:val="002F21DA"/>
    <w:rsid w:val="00301F39"/>
    <w:rsid w:val="00306364"/>
    <w:rsid w:val="003144EE"/>
    <w:rsid w:val="00325909"/>
    <w:rsid w:val="00325926"/>
    <w:rsid w:val="00327A8A"/>
    <w:rsid w:val="00336610"/>
    <w:rsid w:val="00341232"/>
    <w:rsid w:val="00343F73"/>
    <w:rsid w:val="00345060"/>
    <w:rsid w:val="003474A4"/>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B455B"/>
    <w:rsid w:val="003B5AF4"/>
    <w:rsid w:val="003C08A9"/>
    <w:rsid w:val="003C11CB"/>
    <w:rsid w:val="003C64EF"/>
    <w:rsid w:val="003C75F3"/>
    <w:rsid w:val="003C78A3"/>
    <w:rsid w:val="003D2DF6"/>
    <w:rsid w:val="003E1867"/>
    <w:rsid w:val="003E5729"/>
    <w:rsid w:val="003F4EE0"/>
    <w:rsid w:val="003F5715"/>
    <w:rsid w:val="00402153"/>
    <w:rsid w:val="00402FC1"/>
    <w:rsid w:val="00405BED"/>
    <w:rsid w:val="00420965"/>
    <w:rsid w:val="00423137"/>
    <w:rsid w:val="00425082"/>
    <w:rsid w:val="00431DEB"/>
    <w:rsid w:val="0044180C"/>
    <w:rsid w:val="00446B29"/>
    <w:rsid w:val="00453F9A"/>
    <w:rsid w:val="004671B4"/>
    <w:rsid w:val="00471E91"/>
    <w:rsid w:val="00474675"/>
    <w:rsid w:val="0047470C"/>
    <w:rsid w:val="00494457"/>
    <w:rsid w:val="004A35F9"/>
    <w:rsid w:val="004B24C1"/>
    <w:rsid w:val="004B5CC5"/>
    <w:rsid w:val="004C292F"/>
    <w:rsid w:val="004C5D32"/>
    <w:rsid w:val="004C7168"/>
    <w:rsid w:val="004D5EC6"/>
    <w:rsid w:val="004E2EC8"/>
    <w:rsid w:val="004E41F7"/>
    <w:rsid w:val="00510280"/>
    <w:rsid w:val="00513D73"/>
    <w:rsid w:val="00514A43"/>
    <w:rsid w:val="005174E5"/>
    <w:rsid w:val="00522393"/>
    <w:rsid w:val="00522620"/>
    <w:rsid w:val="00524E89"/>
    <w:rsid w:val="00525656"/>
    <w:rsid w:val="00534C02"/>
    <w:rsid w:val="0054264B"/>
    <w:rsid w:val="00543786"/>
    <w:rsid w:val="00544A95"/>
    <w:rsid w:val="00546B50"/>
    <w:rsid w:val="005533D7"/>
    <w:rsid w:val="00560966"/>
    <w:rsid w:val="005644A0"/>
    <w:rsid w:val="005703DE"/>
    <w:rsid w:val="005704F5"/>
    <w:rsid w:val="00575003"/>
    <w:rsid w:val="00577CA5"/>
    <w:rsid w:val="0058464E"/>
    <w:rsid w:val="00584AC4"/>
    <w:rsid w:val="00586713"/>
    <w:rsid w:val="005912F7"/>
    <w:rsid w:val="00593B48"/>
    <w:rsid w:val="005A01CB"/>
    <w:rsid w:val="005A0D50"/>
    <w:rsid w:val="005A58FF"/>
    <w:rsid w:val="005A5EAF"/>
    <w:rsid w:val="005A5ED3"/>
    <w:rsid w:val="005A64C0"/>
    <w:rsid w:val="005B3C11"/>
    <w:rsid w:val="005C075E"/>
    <w:rsid w:val="005C1C28"/>
    <w:rsid w:val="005C4CEF"/>
    <w:rsid w:val="005C6DB5"/>
    <w:rsid w:val="005D0873"/>
    <w:rsid w:val="005D4FA3"/>
    <w:rsid w:val="005D5CA4"/>
    <w:rsid w:val="005E19E7"/>
    <w:rsid w:val="005F0D35"/>
    <w:rsid w:val="005F3E00"/>
    <w:rsid w:val="00613F56"/>
    <w:rsid w:val="0061716C"/>
    <w:rsid w:val="006243A1"/>
    <w:rsid w:val="00632E56"/>
    <w:rsid w:val="00635CBA"/>
    <w:rsid w:val="006411A1"/>
    <w:rsid w:val="0064338B"/>
    <w:rsid w:val="00646542"/>
    <w:rsid w:val="00647C94"/>
    <w:rsid w:val="006504F4"/>
    <w:rsid w:val="00654BC9"/>
    <w:rsid w:val="006552FD"/>
    <w:rsid w:val="00663AF3"/>
    <w:rsid w:val="00664449"/>
    <w:rsid w:val="00666B6C"/>
    <w:rsid w:val="0066774A"/>
    <w:rsid w:val="00671EE7"/>
    <w:rsid w:val="006811BA"/>
    <w:rsid w:val="00682682"/>
    <w:rsid w:val="00682702"/>
    <w:rsid w:val="00682CAE"/>
    <w:rsid w:val="00683594"/>
    <w:rsid w:val="00690664"/>
    <w:rsid w:val="00692368"/>
    <w:rsid w:val="00694B0A"/>
    <w:rsid w:val="006A1A6D"/>
    <w:rsid w:val="006A2EBC"/>
    <w:rsid w:val="006A5EA0"/>
    <w:rsid w:val="006A6310"/>
    <w:rsid w:val="006A783B"/>
    <w:rsid w:val="006A7B33"/>
    <w:rsid w:val="006B4E13"/>
    <w:rsid w:val="006B579D"/>
    <w:rsid w:val="006B75DD"/>
    <w:rsid w:val="006C2FB0"/>
    <w:rsid w:val="006C30B9"/>
    <w:rsid w:val="006C5084"/>
    <w:rsid w:val="006C52F5"/>
    <w:rsid w:val="006C5B95"/>
    <w:rsid w:val="006C67E0"/>
    <w:rsid w:val="006C7ABA"/>
    <w:rsid w:val="006D0D60"/>
    <w:rsid w:val="006D1122"/>
    <w:rsid w:val="006D3C00"/>
    <w:rsid w:val="006D6CF4"/>
    <w:rsid w:val="006E3675"/>
    <w:rsid w:val="006E4A7F"/>
    <w:rsid w:val="00704DF6"/>
    <w:rsid w:val="0070651C"/>
    <w:rsid w:val="007132A3"/>
    <w:rsid w:val="00716421"/>
    <w:rsid w:val="00724EFB"/>
    <w:rsid w:val="00737423"/>
    <w:rsid w:val="007413AE"/>
    <w:rsid w:val="007419C3"/>
    <w:rsid w:val="00744F22"/>
    <w:rsid w:val="007467A7"/>
    <w:rsid w:val="007469DD"/>
    <w:rsid w:val="0074741B"/>
    <w:rsid w:val="0074759E"/>
    <w:rsid w:val="007478EA"/>
    <w:rsid w:val="007513D6"/>
    <w:rsid w:val="0075415C"/>
    <w:rsid w:val="00763502"/>
    <w:rsid w:val="007762C8"/>
    <w:rsid w:val="00776CB0"/>
    <w:rsid w:val="00781660"/>
    <w:rsid w:val="007913AB"/>
    <w:rsid w:val="007914F7"/>
    <w:rsid w:val="00795810"/>
    <w:rsid w:val="007B1625"/>
    <w:rsid w:val="007B3452"/>
    <w:rsid w:val="007B706E"/>
    <w:rsid w:val="007B71EB"/>
    <w:rsid w:val="007C0C85"/>
    <w:rsid w:val="007C4287"/>
    <w:rsid w:val="007C597A"/>
    <w:rsid w:val="007C6205"/>
    <w:rsid w:val="007C686A"/>
    <w:rsid w:val="007C728E"/>
    <w:rsid w:val="007D2C53"/>
    <w:rsid w:val="007D3D60"/>
    <w:rsid w:val="007E1980"/>
    <w:rsid w:val="007E4B76"/>
    <w:rsid w:val="007E5841"/>
    <w:rsid w:val="007E5EA8"/>
    <w:rsid w:val="007F0CF1"/>
    <w:rsid w:val="007F12A5"/>
    <w:rsid w:val="007F2E7A"/>
    <w:rsid w:val="007F4CF1"/>
    <w:rsid w:val="007F758D"/>
    <w:rsid w:val="007F7D52"/>
    <w:rsid w:val="0080218B"/>
    <w:rsid w:val="00803C3C"/>
    <w:rsid w:val="0080654C"/>
    <w:rsid w:val="008071C6"/>
    <w:rsid w:val="008178F1"/>
    <w:rsid w:val="008179D3"/>
    <w:rsid w:val="00817A00"/>
    <w:rsid w:val="00835DB3"/>
    <w:rsid w:val="0083617B"/>
    <w:rsid w:val="008371BD"/>
    <w:rsid w:val="00841B39"/>
    <w:rsid w:val="008504A8"/>
    <w:rsid w:val="0085282E"/>
    <w:rsid w:val="008650F3"/>
    <w:rsid w:val="0087198C"/>
    <w:rsid w:val="00872C1F"/>
    <w:rsid w:val="00873B42"/>
    <w:rsid w:val="008743A3"/>
    <w:rsid w:val="00881BFB"/>
    <w:rsid w:val="008856D8"/>
    <w:rsid w:val="00892E82"/>
    <w:rsid w:val="008A6FF6"/>
    <w:rsid w:val="008B7FF5"/>
    <w:rsid w:val="008C0EF7"/>
    <w:rsid w:val="008C1B58"/>
    <w:rsid w:val="008C39AE"/>
    <w:rsid w:val="008C590D"/>
    <w:rsid w:val="008E031B"/>
    <w:rsid w:val="008E087A"/>
    <w:rsid w:val="008E7029"/>
    <w:rsid w:val="008E7EF6"/>
    <w:rsid w:val="008F1F98"/>
    <w:rsid w:val="008F6758"/>
    <w:rsid w:val="008F686F"/>
    <w:rsid w:val="009040DD"/>
    <w:rsid w:val="00904413"/>
    <w:rsid w:val="00905B47"/>
    <w:rsid w:val="0091331C"/>
    <w:rsid w:val="009137CD"/>
    <w:rsid w:val="00916DBC"/>
    <w:rsid w:val="009170E8"/>
    <w:rsid w:val="009279DE"/>
    <w:rsid w:val="00930116"/>
    <w:rsid w:val="00934753"/>
    <w:rsid w:val="0093491A"/>
    <w:rsid w:val="00934E60"/>
    <w:rsid w:val="00936956"/>
    <w:rsid w:val="0094212C"/>
    <w:rsid w:val="00954689"/>
    <w:rsid w:val="009617C9"/>
    <w:rsid w:val="00961C93"/>
    <w:rsid w:val="00962C69"/>
    <w:rsid w:val="00965324"/>
    <w:rsid w:val="0097091E"/>
    <w:rsid w:val="009718C1"/>
    <w:rsid w:val="00974499"/>
    <w:rsid w:val="009760D3"/>
    <w:rsid w:val="00977132"/>
    <w:rsid w:val="00981A4B"/>
    <w:rsid w:val="00982501"/>
    <w:rsid w:val="0098271F"/>
    <w:rsid w:val="009877D3"/>
    <w:rsid w:val="00994E8F"/>
    <w:rsid w:val="009951DC"/>
    <w:rsid w:val="009959BB"/>
    <w:rsid w:val="00997158"/>
    <w:rsid w:val="009A3A7C"/>
    <w:rsid w:val="009A6373"/>
    <w:rsid w:val="009B2ADB"/>
    <w:rsid w:val="009B51CE"/>
    <w:rsid w:val="009B603A"/>
    <w:rsid w:val="009C2A76"/>
    <w:rsid w:val="009C2D0E"/>
    <w:rsid w:val="009C3DAC"/>
    <w:rsid w:val="009C42E0"/>
    <w:rsid w:val="009C49B0"/>
    <w:rsid w:val="009D0E6B"/>
    <w:rsid w:val="009D5362"/>
    <w:rsid w:val="009E1415"/>
    <w:rsid w:val="009E6116"/>
    <w:rsid w:val="009F1ACF"/>
    <w:rsid w:val="009F1AE7"/>
    <w:rsid w:val="00A02E43"/>
    <w:rsid w:val="00A065F9"/>
    <w:rsid w:val="00A06AB5"/>
    <w:rsid w:val="00A07F34"/>
    <w:rsid w:val="00A100BD"/>
    <w:rsid w:val="00A22154"/>
    <w:rsid w:val="00A25C38"/>
    <w:rsid w:val="00A32CDB"/>
    <w:rsid w:val="00A36BBE"/>
    <w:rsid w:val="00A4307A"/>
    <w:rsid w:val="00A47EBB"/>
    <w:rsid w:val="00A51CDD"/>
    <w:rsid w:val="00A6730D"/>
    <w:rsid w:val="00A674E9"/>
    <w:rsid w:val="00A71625"/>
    <w:rsid w:val="00A71B9B"/>
    <w:rsid w:val="00A751C7"/>
    <w:rsid w:val="00A76EB5"/>
    <w:rsid w:val="00A802D5"/>
    <w:rsid w:val="00A87844"/>
    <w:rsid w:val="00A90658"/>
    <w:rsid w:val="00AA038C"/>
    <w:rsid w:val="00AA0F55"/>
    <w:rsid w:val="00AA3187"/>
    <w:rsid w:val="00AA7A09"/>
    <w:rsid w:val="00AB3B50"/>
    <w:rsid w:val="00AC05B1"/>
    <w:rsid w:val="00AC09B4"/>
    <w:rsid w:val="00AC3716"/>
    <w:rsid w:val="00AC451E"/>
    <w:rsid w:val="00AC733E"/>
    <w:rsid w:val="00AD1D7D"/>
    <w:rsid w:val="00AD356C"/>
    <w:rsid w:val="00AD477D"/>
    <w:rsid w:val="00AD64C6"/>
    <w:rsid w:val="00AE13EF"/>
    <w:rsid w:val="00AE2914"/>
    <w:rsid w:val="00AE6D15"/>
    <w:rsid w:val="00B002A3"/>
    <w:rsid w:val="00B0291C"/>
    <w:rsid w:val="00B04182"/>
    <w:rsid w:val="00B07AE3"/>
    <w:rsid w:val="00B11430"/>
    <w:rsid w:val="00B1170E"/>
    <w:rsid w:val="00B353EB"/>
    <w:rsid w:val="00B40E2A"/>
    <w:rsid w:val="00B4132D"/>
    <w:rsid w:val="00B439C4"/>
    <w:rsid w:val="00B44CB5"/>
    <w:rsid w:val="00B4535E"/>
    <w:rsid w:val="00B500C1"/>
    <w:rsid w:val="00B52A8C"/>
    <w:rsid w:val="00B636A8"/>
    <w:rsid w:val="00B662A9"/>
    <w:rsid w:val="00B665C6"/>
    <w:rsid w:val="00B7008A"/>
    <w:rsid w:val="00B805AF"/>
    <w:rsid w:val="00B869EC"/>
    <w:rsid w:val="00B9397A"/>
    <w:rsid w:val="00B94F6B"/>
    <w:rsid w:val="00B9633D"/>
    <w:rsid w:val="00BA0B75"/>
    <w:rsid w:val="00BA0BA0"/>
    <w:rsid w:val="00BA2EBE"/>
    <w:rsid w:val="00BB0F28"/>
    <w:rsid w:val="00BB3758"/>
    <w:rsid w:val="00BB458A"/>
    <w:rsid w:val="00BC11AA"/>
    <w:rsid w:val="00BC50C4"/>
    <w:rsid w:val="00BD00D3"/>
    <w:rsid w:val="00BD1659"/>
    <w:rsid w:val="00BD3AA9"/>
    <w:rsid w:val="00BD4A18"/>
    <w:rsid w:val="00BD5F92"/>
    <w:rsid w:val="00BD6DB2"/>
    <w:rsid w:val="00BE11CF"/>
    <w:rsid w:val="00BE21AB"/>
    <w:rsid w:val="00BE55CB"/>
    <w:rsid w:val="00BE6415"/>
    <w:rsid w:val="00BF617A"/>
    <w:rsid w:val="00BF6391"/>
    <w:rsid w:val="00BF6FCE"/>
    <w:rsid w:val="00BF7B1B"/>
    <w:rsid w:val="00C0379D"/>
    <w:rsid w:val="00C03931"/>
    <w:rsid w:val="00C05FE3"/>
    <w:rsid w:val="00C2136D"/>
    <w:rsid w:val="00C214EE"/>
    <w:rsid w:val="00C2314B"/>
    <w:rsid w:val="00C24971"/>
    <w:rsid w:val="00C26737"/>
    <w:rsid w:val="00C26BE5"/>
    <w:rsid w:val="00C26E4D"/>
    <w:rsid w:val="00C27909"/>
    <w:rsid w:val="00C27B03"/>
    <w:rsid w:val="00C314E1"/>
    <w:rsid w:val="00C34397"/>
    <w:rsid w:val="00C3788B"/>
    <w:rsid w:val="00C4095D"/>
    <w:rsid w:val="00C41A2A"/>
    <w:rsid w:val="00C46047"/>
    <w:rsid w:val="00C4706C"/>
    <w:rsid w:val="00C53904"/>
    <w:rsid w:val="00C56846"/>
    <w:rsid w:val="00C601D2"/>
    <w:rsid w:val="00C62F19"/>
    <w:rsid w:val="00C65BCC"/>
    <w:rsid w:val="00C66970"/>
    <w:rsid w:val="00C7096E"/>
    <w:rsid w:val="00C713E9"/>
    <w:rsid w:val="00C7363C"/>
    <w:rsid w:val="00C817AB"/>
    <w:rsid w:val="00C85811"/>
    <w:rsid w:val="00C8691C"/>
    <w:rsid w:val="00CA168A"/>
    <w:rsid w:val="00CA357E"/>
    <w:rsid w:val="00CA44F9"/>
    <w:rsid w:val="00CA4A69"/>
    <w:rsid w:val="00CC3E0C"/>
    <w:rsid w:val="00CC58D3"/>
    <w:rsid w:val="00CC784D"/>
    <w:rsid w:val="00CD1136"/>
    <w:rsid w:val="00CD180A"/>
    <w:rsid w:val="00CE2186"/>
    <w:rsid w:val="00CE74A0"/>
    <w:rsid w:val="00CF6433"/>
    <w:rsid w:val="00D0337B"/>
    <w:rsid w:val="00D04EEB"/>
    <w:rsid w:val="00D079B2"/>
    <w:rsid w:val="00D114E9"/>
    <w:rsid w:val="00D127CB"/>
    <w:rsid w:val="00D1527D"/>
    <w:rsid w:val="00D33B97"/>
    <w:rsid w:val="00D36A1B"/>
    <w:rsid w:val="00D40FA1"/>
    <w:rsid w:val="00D429C6"/>
    <w:rsid w:val="00D44D17"/>
    <w:rsid w:val="00D4530E"/>
    <w:rsid w:val="00D46359"/>
    <w:rsid w:val="00D47748"/>
    <w:rsid w:val="00D54198"/>
    <w:rsid w:val="00D54CC3"/>
    <w:rsid w:val="00D6041A"/>
    <w:rsid w:val="00D619C7"/>
    <w:rsid w:val="00D62C18"/>
    <w:rsid w:val="00D633EB"/>
    <w:rsid w:val="00D74B0E"/>
    <w:rsid w:val="00D74FD0"/>
    <w:rsid w:val="00D82FF7"/>
    <w:rsid w:val="00D847FE"/>
    <w:rsid w:val="00D863C9"/>
    <w:rsid w:val="00D96411"/>
    <w:rsid w:val="00D964EA"/>
    <w:rsid w:val="00D966D0"/>
    <w:rsid w:val="00DA0C59"/>
    <w:rsid w:val="00DA3991"/>
    <w:rsid w:val="00DB0990"/>
    <w:rsid w:val="00DB0A52"/>
    <w:rsid w:val="00DB7E6C"/>
    <w:rsid w:val="00DD034E"/>
    <w:rsid w:val="00DD5A29"/>
    <w:rsid w:val="00DD5D9D"/>
    <w:rsid w:val="00DD6536"/>
    <w:rsid w:val="00DE35CB"/>
    <w:rsid w:val="00DE7357"/>
    <w:rsid w:val="00DF21E9"/>
    <w:rsid w:val="00E00F14"/>
    <w:rsid w:val="00E0151A"/>
    <w:rsid w:val="00E01A61"/>
    <w:rsid w:val="00E02423"/>
    <w:rsid w:val="00E06386"/>
    <w:rsid w:val="00E146EC"/>
    <w:rsid w:val="00E16084"/>
    <w:rsid w:val="00E177FA"/>
    <w:rsid w:val="00E24EB4"/>
    <w:rsid w:val="00E320ED"/>
    <w:rsid w:val="00E325FA"/>
    <w:rsid w:val="00E33AFB"/>
    <w:rsid w:val="00E34218"/>
    <w:rsid w:val="00E41EE7"/>
    <w:rsid w:val="00E42799"/>
    <w:rsid w:val="00E4363D"/>
    <w:rsid w:val="00E43866"/>
    <w:rsid w:val="00E46282"/>
    <w:rsid w:val="00E5216E"/>
    <w:rsid w:val="00E72787"/>
    <w:rsid w:val="00E81632"/>
    <w:rsid w:val="00E82344"/>
    <w:rsid w:val="00E84C82"/>
    <w:rsid w:val="00E84D64"/>
    <w:rsid w:val="00E87408"/>
    <w:rsid w:val="00E909C0"/>
    <w:rsid w:val="00E914C4"/>
    <w:rsid w:val="00E934F5"/>
    <w:rsid w:val="00E96961"/>
    <w:rsid w:val="00E97333"/>
    <w:rsid w:val="00EA2893"/>
    <w:rsid w:val="00EA324B"/>
    <w:rsid w:val="00EA72EC"/>
    <w:rsid w:val="00EA7EE0"/>
    <w:rsid w:val="00EB11CB"/>
    <w:rsid w:val="00EB275A"/>
    <w:rsid w:val="00EB786A"/>
    <w:rsid w:val="00EC1578"/>
    <w:rsid w:val="00EC1C72"/>
    <w:rsid w:val="00EC3CC9"/>
    <w:rsid w:val="00EC5C81"/>
    <w:rsid w:val="00EC66E8"/>
    <w:rsid w:val="00EC680A"/>
    <w:rsid w:val="00EC6A1F"/>
    <w:rsid w:val="00ED4461"/>
    <w:rsid w:val="00EE2BED"/>
    <w:rsid w:val="00EE374B"/>
    <w:rsid w:val="00EF2E4D"/>
    <w:rsid w:val="00F03788"/>
    <w:rsid w:val="00F11BB5"/>
    <w:rsid w:val="00F1417B"/>
    <w:rsid w:val="00F25660"/>
    <w:rsid w:val="00F34197"/>
    <w:rsid w:val="00F34B99"/>
    <w:rsid w:val="00F378E5"/>
    <w:rsid w:val="00F505B3"/>
    <w:rsid w:val="00F52DAB"/>
    <w:rsid w:val="00F543F0"/>
    <w:rsid w:val="00F5693C"/>
    <w:rsid w:val="00F60788"/>
    <w:rsid w:val="00F667AB"/>
    <w:rsid w:val="00F67819"/>
    <w:rsid w:val="00F717FE"/>
    <w:rsid w:val="00F81799"/>
    <w:rsid w:val="00F81D29"/>
    <w:rsid w:val="00F91C4D"/>
    <w:rsid w:val="00F92453"/>
    <w:rsid w:val="00F92FD9"/>
    <w:rsid w:val="00FA6684"/>
    <w:rsid w:val="00FA731E"/>
    <w:rsid w:val="00FA762D"/>
    <w:rsid w:val="00FB2B38"/>
    <w:rsid w:val="00FB6468"/>
    <w:rsid w:val="00FC6358"/>
    <w:rsid w:val="00FD01CF"/>
    <w:rsid w:val="00FD08F4"/>
    <w:rsid w:val="00FD320D"/>
    <w:rsid w:val="00FE23DE"/>
    <w:rsid w:val="0F8F68BD"/>
    <w:rsid w:val="151E1EF6"/>
    <w:rsid w:val="1D657C56"/>
    <w:rsid w:val="42277887"/>
    <w:rsid w:val="4763046E"/>
    <w:rsid w:val="4B0B2894"/>
    <w:rsid w:val="4C935A1F"/>
    <w:rsid w:val="544140E5"/>
    <w:rsid w:val="6F0B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unhideWhenUsed="0" w:uiPriority="0" w:name="toc 7"/>
    <w:lsdException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9"/>
    <w:qFormat/>
    <w:uiPriority w:val="0"/>
    <w:pPr>
      <w:keepNext/>
      <w:keepLines/>
      <w:spacing w:before="340" w:after="330" w:line="578" w:lineRule="auto"/>
      <w:outlineLvl w:val="0"/>
    </w:pPr>
    <w:rPr>
      <w:b/>
      <w:bCs/>
      <w:kern w:val="44"/>
      <w:sz w:val="44"/>
      <w:szCs w:val="44"/>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144"/>
    <w:qFormat/>
    <w:uiPriority w:val="0"/>
    <w:pPr>
      <w:jc w:val="left"/>
    </w:pPr>
    <w:rPr>
      <w:lang w:val="zh-CN" w:eastAsia="zh-CN"/>
    </w:r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qFormat/>
    <w:uiPriority w:val="39"/>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8161"/>
      </w:tabs>
      <w:ind w:firstLine="283" w:firstLineChars="135"/>
      <w:jc w:val="left"/>
    </w:pPr>
    <w:rPr>
      <w:rFonts w:ascii="宋体"/>
      <w:szCs w:val="21"/>
    </w:rPr>
  </w:style>
  <w:style w:type="paragraph" w:styleId="13">
    <w:name w:val="toc 8"/>
    <w:basedOn w:val="1"/>
    <w:next w:val="1"/>
    <w:semiHidden/>
    <w:uiPriority w:val="0"/>
    <w:pPr>
      <w:tabs>
        <w:tab w:val="right" w:leader="dot" w:pos="9241"/>
      </w:tabs>
      <w:ind w:firstLine="607" w:firstLineChars="600"/>
      <w:jc w:val="left"/>
    </w:pPr>
    <w:rPr>
      <w:rFonts w:ascii="宋体"/>
      <w:szCs w:val="21"/>
    </w:rPr>
  </w:style>
  <w:style w:type="paragraph" w:styleId="14">
    <w:name w:val="index 3"/>
    <w:basedOn w:val="1"/>
    <w:next w:val="1"/>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143"/>
    <w:uiPriority w:val="0"/>
    <w:rPr>
      <w:sz w:val="18"/>
      <w:szCs w:val="18"/>
    </w:rPr>
  </w:style>
  <w:style w:type="paragraph" w:styleId="17">
    <w:name w:val="footer"/>
    <w:basedOn w:val="1"/>
    <w:link w:val="141"/>
    <w:qFormat/>
    <w:uiPriority w:val="99"/>
    <w:pPr>
      <w:snapToGrid w:val="0"/>
      <w:ind w:right="210" w:rightChars="100"/>
      <w:jc w:val="right"/>
    </w:pPr>
    <w:rPr>
      <w:sz w:val="18"/>
      <w:szCs w:val="18"/>
    </w:rPr>
  </w:style>
  <w:style w:type="paragraph" w:styleId="18">
    <w:name w:val="header"/>
    <w:basedOn w:val="1"/>
    <w:link w:val="145"/>
    <w:uiPriority w:val="99"/>
    <w:pPr>
      <w:snapToGrid w:val="0"/>
      <w:jc w:val="left"/>
    </w:pPr>
    <w:rPr>
      <w:sz w:val="18"/>
      <w:szCs w:val="18"/>
    </w:rPr>
  </w:style>
  <w:style w:type="paragraph" w:styleId="19">
    <w:name w:val="toc 1"/>
    <w:basedOn w:val="1"/>
    <w:next w:val="1"/>
    <w:qFormat/>
    <w:uiPriority w:val="39"/>
    <w:pPr>
      <w:tabs>
        <w:tab w:val="right" w:leader="dot" w:pos="8080"/>
        <w:tab w:val="right" w:leader="dot" w:pos="9346"/>
      </w:tabs>
      <w:spacing w:beforeLines="25" w:afterLines="25"/>
      <w:jc w:val="right"/>
    </w:pPr>
    <w:rPr>
      <w:rFonts w:ascii="宋体"/>
      <w:szCs w:val="21"/>
    </w:rPr>
  </w:style>
  <w:style w:type="paragraph" w:styleId="20">
    <w:name w:val="toc 4"/>
    <w:basedOn w:val="1"/>
    <w:next w:val="1"/>
    <w:qFormat/>
    <w:uiPriority w:val="39"/>
    <w:pPr>
      <w:tabs>
        <w:tab w:val="right" w:leader="dot" w:pos="9241"/>
      </w:tabs>
      <w:ind w:firstLine="198" w:firstLineChars="200"/>
      <w:jc w:val="left"/>
    </w:pPr>
    <w:rPr>
      <w:rFonts w:ascii="宋体"/>
      <w:szCs w:val="21"/>
    </w:rPr>
  </w:style>
  <w:style w:type="paragraph" w:styleId="21">
    <w:name w:val="index heading"/>
    <w:basedOn w:val="1"/>
    <w:next w:val="22"/>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szCs w:val="21"/>
    </w:rPr>
  </w:style>
  <w:style w:type="paragraph" w:styleId="26">
    <w:name w:val="index 7"/>
    <w:basedOn w:val="1"/>
    <w:next w:val="1"/>
    <w:uiPriority w:val="0"/>
    <w:pPr>
      <w:ind w:left="1470" w:hanging="210"/>
      <w:jc w:val="left"/>
    </w:pPr>
    <w:rPr>
      <w:rFonts w:ascii="Calibri" w:hAnsi="Calibri"/>
      <w:sz w:val="20"/>
      <w:szCs w:val="20"/>
    </w:rPr>
  </w:style>
  <w:style w:type="paragraph" w:styleId="27">
    <w:name w:val="index 9"/>
    <w:basedOn w:val="1"/>
    <w:next w:val="1"/>
    <w:uiPriority w:val="0"/>
    <w:pPr>
      <w:ind w:left="1890" w:hanging="210"/>
      <w:jc w:val="left"/>
    </w:pPr>
    <w:rPr>
      <w:rFonts w:ascii="Calibri" w:hAnsi="Calibri"/>
      <w:sz w:val="20"/>
      <w:szCs w:val="20"/>
    </w:rPr>
  </w:style>
  <w:style w:type="paragraph" w:styleId="28">
    <w:name w:val="toc 2"/>
    <w:basedOn w:val="1"/>
    <w:next w:val="1"/>
    <w:qFormat/>
    <w:uiPriority w:val="39"/>
    <w:pPr>
      <w:tabs>
        <w:tab w:val="right" w:leader="dot" w:pos="8175"/>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uiPriority w:val="0"/>
    <w:pPr>
      <w:ind w:left="420" w:hanging="210"/>
      <w:jc w:val="left"/>
    </w:pPr>
    <w:rPr>
      <w:rFonts w:ascii="Calibri" w:hAnsi="Calibri"/>
      <w:sz w:val="20"/>
      <w:szCs w:val="20"/>
    </w:rPr>
  </w:style>
  <w:style w:type="table" w:styleId="32">
    <w:name w:val="Table Grid"/>
    <w:basedOn w:val="31"/>
    <w:qFormat/>
    <w:uiPriority w:val="0"/>
    <w:pPr>
      <w:numPr>
        <w:numId w:val="2"/>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basedOn w:val="33"/>
    <w:semiHidden/>
    <w:qFormat/>
    <w:uiPriority w:val="0"/>
    <w:rPr>
      <w:vertAlign w:val="superscript"/>
    </w:rPr>
  </w:style>
  <w:style w:type="character" w:styleId="35">
    <w:name w:val="page number"/>
    <w:basedOn w:val="33"/>
    <w:qFormat/>
    <w:uiPriority w:val="0"/>
    <w:rPr>
      <w:rFonts w:ascii="Times New Roman" w:hAnsi="Times New Roman" w:eastAsia="宋体"/>
      <w:sz w:val="18"/>
    </w:rPr>
  </w:style>
  <w:style w:type="character" w:styleId="36">
    <w:name w:val="FollowedHyperlink"/>
    <w:basedOn w:val="33"/>
    <w:qFormat/>
    <w:uiPriority w:val="0"/>
    <w:rPr>
      <w:color w:val="800080"/>
      <w:u w:val="single"/>
    </w:rPr>
  </w:style>
  <w:style w:type="character" w:styleId="37">
    <w:name w:val="Hyperlink"/>
    <w:basedOn w:val="33"/>
    <w:qFormat/>
    <w:uiPriority w:val="99"/>
    <w:rPr>
      <w:color w:val="0000FF"/>
      <w:spacing w:val="0"/>
      <w:w w:val="100"/>
      <w:szCs w:val="21"/>
      <w:u w:val="single"/>
    </w:rPr>
  </w:style>
  <w:style w:type="character" w:styleId="38">
    <w:name w:val="annotation reference"/>
    <w:qFormat/>
    <w:uiPriority w:val="0"/>
    <w:rPr>
      <w:sz w:val="21"/>
      <w:szCs w:val="21"/>
    </w:rPr>
  </w:style>
  <w:style w:type="character" w:styleId="39">
    <w:name w:val="footnote reference"/>
    <w:basedOn w:val="33"/>
    <w:semiHidden/>
    <w:uiPriority w:val="0"/>
    <w:rPr>
      <w:vertAlign w:val="superscript"/>
    </w:rPr>
  </w:style>
  <w:style w:type="character" w:customStyle="1" w:styleId="40">
    <w:name w:val="段 Char"/>
    <w:basedOn w:val="33"/>
    <w:link w:val="23"/>
    <w:uiPriority w:val="0"/>
    <w:rPr>
      <w:rFonts w:ascii="宋体"/>
      <w:sz w:val="21"/>
      <w:lang w:val="en-US" w:eastAsia="zh-CN" w:bidi="ar-SA"/>
    </w:rPr>
  </w:style>
  <w:style w:type="paragraph" w:customStyle="1" w:styleId="41">
    <w:name w:val="一级条标题"/>
    <w:next w:val="23"/>
    <w:qFormat/>
    <w:uiPriority w:val="0"/>
    <w:pPr>
      <w:numPr>
        <w:ilvl w:val="1"/>
        <w:numId w:val="3"/>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3"/>
    <w:qFormat/>
    <w:uiPriority w:val="0"/>
    <w:pPr>
      <w:numPr>
        <w:ilvl w:val="0"/>
        <w:numId w:val="3"/>
      </w:numPr>
      <w:tabs>
        <w:tab w:val="left" w:pos="360"/>
      </w:tabs>
      <w:spacing w:beforeLines="100" w:afterLines="100"/>
      <w:ind w:left="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3"/>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3"/>
    <w:qFormat/>
    <w:uiPriority w:val="0"/>
    <w:pPr>
      <w:numPr>
        <w:ilvl w:val="0"/>
        <w:numId w:val="0"/>
      </w:numPr>
      <w:outlineLvl w:val="4"/>
    </w:pPr>
  </w:style>
  <w:style w:type="paragraph" w:customStyle="1" w:styleId="51">
    <w:name w:val="示例"/>
    <w:next w:val="52"/>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uiPriority w:val="0"/>
    <w:pPr>
      <w:numPr>
        <w:ilvl w:val="1"/>
        <w:numId w:val="6"/>
      </w:numPr>
      <w:tabs>
        <w:tab w:val="left" w:pos="1260"/>
      </w:tabs>
      <w:jc w:val="both"/>
    </w:pPr>
    <w:rPr>
      <w:rFonts w:ascii="宋体" w:hAnsi="Times New Roman" w:eastAsia="宋体" w:cs="Times New Roman"/>
      <w:sz w:val="21"/>
      <w:lang w:val="en-US" w:eastAsia="zh-CN" w:bidi="ar-SA"/>
    </w:rPr>
  </w:style>
  <w:style w:type="paragraph" w:customStyle="1" w:styleId="54">
    <w:name w:val="四级条标题"/>
    <w:basedOn w:val="50"/>
    <w:next w:val="23"/>
    <w:qFormat/>
    <w:uiPriority w:val="0"/>
    <w:pPr>
      <w:numPr>
        <w:ilvl w:val="4"/>
        <w:numId w:val="3"/>
      </w:numPr>
      <w:outlineLvl w:val="5"/>
    </w:pPr>
  </w:style>
  <w:style w:type="paragraph" w:customStyle="1" w:styleId="55">
    <w:name w:val="五级条标题"/>
    <w:basedOn w:val="54"/>
    <w:next w:val="23"/>
    <w:uiPriority w:val="0"/>
    <w:pPr>
      <w:numPr>
        <w:ilvl w:val="5"/>
      </w:numPr>
      <w:outlineLvl w:val="6"/>
    </w:pPr>
  </w:style>
  <w:style w:type="paragraph" w:customStyle="1" w:styleId="56">
    <w:name w:val="注："/>
    <w:next w:val="23"/>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7">
    <w:name w:val="注×："/>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6"/>
      </w:numPr>
      <w:tabs>
        <w:tab w:val="left" w:pos="840"/>
      </w:tabs>
      <w:jc w:val="both"/>
    </w:pPr>
    <w:rPr>
      <w:rFonts w:ascii="宋体" w:hAnsi="Times New Roman" w:eastAsia="宋体" w:cs="Times New Roman"/>
      <w:sz w:val="21"/>
      <w:lang w:val="en-US" w:eastAsia="zh-CN" w:bidi="ar-SA"/>
    </w:rPr>
  </w:style>
  <w:style w:type="paragraph" w:customStyle="1" w:styleId="59">
    <w:name w:val="列项◆（三级）"/>
    <w:basedOn w:val="1"/>
    <w:uiPriority w:val="0"/>
    <w:pPr>
      <w:numPr>
        <w:ilvl w:val="2"/>
        <w:numId w:val="4"/>
      </w:numPr>
    </w:pPr>
    <w:rPr>
      <w:rFonts w:ascii="宋体"/>
      <w:szCs w:val="21"/>
    </w:rPr>
  </w:style>
  <w:style w:type="paragraph" w:customStyle="1" w:styleId="60">
    <w:name w:val="编号列项（三级）"/>
    <w:qFormat/>
    <w:uiPriority w:val="0"/>
    <w:rPr>
      <w:rFonts w:ascii="宋体" w:hAnsi="Times New Roman" w:eastAsia="宋体" w:cs="Times New Roman"/>
      <w:sz w:val="21"/>
      <w:lang w:val="en-US" w:eastAsia="zh-CN" w:bidi="ar-SA"/>
    </w:rPr>
  </w:style>
  <w:style w:type="paragraph" w:customStyle="1" w:styleId="61">
    <w:name w:val="示例×："/>
    <w:basedOn w:val="44"/>
    <w:qFormat/>
    <w:uiPriority w:val="0"/>
    <w:pPr>
      <w:numPr>
        <w:numId w:val="9"/>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pPr>
    <w:rPr>
      <w:rFonts w:ascii="宋体" w:eastAsia="宋体"/>
    </w:rPr>
  </w:style>
  <w:style w:type="paragraph" w:customStyle="1" w:styleId="63">
    <w:name w:val="注：（正文）"/>
    <w:basedOn w:val="56"/>
    <w:next w:val="23"/>
    <w:uiPriority w:val="0"/>
    <w:pPr>
      <w:numPr>
        <w:ilvl w:val="0"/>
        <w:numId w:val="10"/>
      </w:numPr>
      <w:ind w:left="931"/>
    </w:pPr>
  </w:style>
  <w:style w:type="paragraph" w:customStyle="1" w:styleId="64">
    <w:name w:val="注×：（正文）"/>
    <w:qFormat/>
    <w:uiPriority w:val="0"/>
    <w:pPr>
      <w:numPr>
        <w:ilvl w:val="0"/>
        <w:numId w:val="11"/>
      </w:numPr>
      <w:jc w:val="both"/>
    </w:pPr>
    <w:rPr>
      <w:rFonts w:ascii="宋体" w:hAnsi="Times New Roman" w:eastAsia="宋体" w:cs="Times New Roman"/>
      <w:sz w:val="18"/>
      <w:szCs w:val="18"/>
      <w:lang w:val="en-US" w:eastAsia="zh-CN" w:bidi="ar-SA"/>
    </w:rPr>
  </w:style>
  <w:style w:type="paragraph" w:customStyle="1" w:styleId="65">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3"/>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basedOn w:val="33"/>
    <w:uiPriority w:val="0"/>
    <w:rPr>
      <w:rFonts w:ascii="黑体" w:eastAsia="黑体"/>
      <w:spacing w:val="85"/>
      <w:w w:val="100"/>
      <w:position w:val="3"/>
      <w:sz w:val="28"/>
      <w:szCs w:val="28"/>
    </w:rPr>
  </w:style>
  <w:style w:type="paragraph" w:customStyle="1" w:styleId="73">
    <w:name w:val="发布部门"/>
    <w:next w:val="23"/>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uiPriority w:val="0"/>
    <w:pPr>
      <w:spacing w:before="370" w:line="400" w:lineRule="exact"/>
    </w:pPr>
    <w:rPr>
      <w:rFonts w:ascii="Times New Roman"/>
      <w:sz w:val="28"/>
      <w:szCs w:val="28"/>
    </w:rPr>
  </w:style>
  <w:style w:type="paragraph" w:customStyle="1" w:styleId="79">
    <w:name w:val="封面一致性程度标识"/>
    <w:basedOn w:val="78"/>
    <w:uiPriority w:val="0"/>
    <w:pPr>
      <w:spacing w:before="440"/>
    </w:pPr>
    <w:rPr>
      <w:rFonts w:ascii="宋体" w:eastAsia="宋体"/>
    </w:rPr>
  </w:style>
  <w:style w:type="paragraph" w:customStyle="1" w:styleId="80">
    <w:name w:val="封面标准文稿类别"/>
    <w:basedOn w:val="79"/>
    <w:qFormat/>
    <w:uiPriority w:val="0"/>
    <w:pPr>
      <w:spacing w:after="160" w:line="240" w:lineRule="auto"/>
    </w:pPr>
    <w:rPr>
      <w:sz w:val="24"/>
    </w:rPr>
  </w:style>
  <w:style w:type="paragraph" w:customStyle="1" w:styleId="81">
    <w:name w:val="封面标准文稿编辑信息"/>
    <w:basedOn w:val="80"/>
    <w:qFormat/>
    <w:uiPriority w:val="0"/>
    <w:pPr>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3"/>
    <w:uiPriority w:val="0"/>
    <w:pPr>
      <w:keepNext/>
      <w:widowControl/>
      <w:numPr>
        <w:ilvl w:val="0"/>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3"/>
    <w:next w:val="23"/>
    <w:qFormat/>
    <w:uiPriority w:val="0"/>
    <w:pPr>
      <w:ind w:firstLine="0" w:firstLineChars="0"/>
      <w:jc w:val="center"/>
    </w:pPr>
    <w:rPr>
      <w:rFonts w:ascii="黑体" w:eastAsia="黑体"/>
    </w:rPr>
  </w:style>
  <w:style w:type="paragraph" w:customStyle="1" w:styleId="85">
    <w:name w:val="附录表标号"/>
    <w:basedOn w:val="1"/>
    <w:next w:val="23"/>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86">
    <w:name w:val="附录表标题"/>
    <w:basedOn w:val="1"/>
    <w:next w:val="23"/>
    <w:uiPriority w:val="0"/>
    <w:pPr>
      <w:numPr>
        <w:ilvl w:val="1"/>
        <w:numId w:val="13"/>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3"/>
    <w:uiPriority w:val="0"/>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uiPriority w:val="0"/>
    <w:pPr>
      <w:tabs>
        <w:tab w:val="clear" w:pos="360"/>
      </w:tabs>
      <w:spacing w:beforeLines="0" w:afterLines="0"/>
    </w:pPr>
    <w:rPr>
      <w:rFonts w:ascii="宋体" w:eastAsia="宋体"/>
      <w:szCs w:val="21"/>
    </w:rPr>
  </w:style>
  <w:style w:type="paragraph" w:customStyle="1" w:styleId="89">
    <w:name w:val="附录公式"/>
    <w:basedOn w:val="23"/>
    <w:next w:val="23"/>
    <w:link w:val="90"/>
    <w:qFormat/>
    <w:uiPriority w:val="0"/>
  </w:style>
  <w:style w:type="character" w:customStyle="1" w:styleId="90">
    <w:name w:val="附录公式 Char"/>
    <w:basedOn w:val="40"/>
    <w:link w:val="89"/>
    <w:uiPriority w:val="0"/>
    <w:rPr>
      <w:rFonts w:ascii="宋体"/>
      <w:sz w:val="21"/>
      <w:lang w:val="en-US" w:eastAsia="zh-CN" w:bidi="ar-SA"/>
    </w:rPr>
  </w:style>
  <w:style w:type="paragraph" w:customStyle="1" w:styleId="91">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3"/>
    <w:qFormat/>
    <w:uiPriority w:val="0"/>
    <w:pPr>
      <w:numPr>
        <w:ilvl w:val="4"/>
      </w:numPr>
      <w:outlineLvl w:val="4"/>
    </w:pPr>
  </w:style>
  <w:style w:type="paragraph" w:customStyle="1" w:styleId="93">
    <w:name w:val="附录三级无"/>
    <w:basedOn w:val="92"/>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95">
    <w:name w:val="附录四级条标题"/>
    <w:basedOn w:val="92"/>
    <w:next w:val="23"/>
    <w:qFormat/>
    <w:uiPriority w:val="0"/>
    <w:pPr>
      <w:numPr>
        <w:ilvl w:val="5"/>
      </w:numPr>
      <w:outlineLvl w:val="5"/>
    </w:pPr>
  </w:style>
  <w:style w:type="paragraph" w:customStyle="1" w:styleId="96">
    <w:name w:val="附录四级无"/>
    <w:basedOn w:val="95"/>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98">
    <w:name w:val="附录图标题"/>
    <w:basedOn w:val="1"/>
    <w:next w:val="23"/>
    <w:qFormat/>
    <w:uiPriority w:val="0"/>
    <w:pPr>
      <w:numPr>
        <w:ilvl w:val="1"/>
        <w:numId w:val="15"/>
      </w:numPr>
      <w:tabs>
        <w:tab w:val="left" w:pos="363"/>
      </w:tabs>
      <w:spacing w:beforeLines="50" w:afterLines="50"/>
      <w:ind w:left="0" w:firstLine="0"/>
      <w:jc w:val="center"/>
    </w:pPr>
    <w:rPr>
      <w:rFonts w:ascii="黑体" w:eastAsia="黑体"/>
      <w:szCs w:val="21"/>
    </w:rPr>
  </w:style>
  <w:style w:type="paragraph" w:customStyle="1" w:styleId="99">
    <w:name w:val="附录五级条标题"/>
    <w:basedOn w:val="95"/>
    <w:next w:val="23"/>
    <w:uiPriority w:val="0"/>
    <w:pPr>
      <w:numPr>
        <w:ilvl w:val="6"/>
      </w:numPr>
      <w:outlineLvl w:val="6"/>
    </w:pPr>
  </w:style>
  <w:style w:type="paragraph" w:customStyle="1" w:styleId="100">
    <w:name w:val="附录五级无"/>
    <w:basedOn w:val="99"/>
    <w:uiPriority w:val="0"/>
    <w:pPr>
      <w:tabs>
        <w:tab w:val="clear" w:pos="360"/>
      </w:tabs>
      <w:spacing w:beforeLines="0" w:afterLines="0"/>
    </w:pPr>
    <w:rPr>
      <w:rFonts w:ascii="宋体" w:eastAsia="宋体"/>
      <w:szCs w:val="21"/>
    </w:rPr>
  </w:style>
  <w:style w:type="paragraph" w:customStyle="1" w:styleId="101">
    <w:name w:val="附录章标题"/>
    <w:next w:val="23"/>
    <w:uiPriority w:val="0"/>
    <w:pPr>
      <w:numPr>
        <w:ilvl w:val="1"/>
        <w:numId w:val="1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3"/>
    <w:uiPriority w:val="0"/>
    <w:pPr>
      <w:numPr>
        <w:ilvl w:val="2"/>
      </w:numPr>
      <w:autoSpaceDN w:val="0"/>
      <w:spacing w:beforeLines="50" w:afterLines="50"/>
      <w:outlineLvl w:val="2"/>
    </w:pPr>
  </w:style>
  <w:style w:type="paragraph" w:customStyle="1" w:styleId="103">
    <w:name w:val="附录一级无"/>
    <w:basedOn w:val="102"/>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05">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uiPriority w:val="0"/>
    <w:pPr>
      <w:framePr w:w="6101" w:vAnchor="page" w:hAnchor="page" w:x="4673" w:y="942"/>
    </w:pPr>
    <w:rPr>
      <w:w w:val="130"/>
    </w:rPr>
  </w:style>
  <w:style w:type="paragraph" w:customStyle="1" w:styleId="109">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uiPriority w:val="0"/>
    <w:pPr>
      <w:framePr w:y="15310"/>
      <w:spacing w:line="0" w:lineRule="atLeast"/>
    </w:pPr>
    <w:rPr>
      <w:rFonts w:ascii="黑体" w:eastAsia="黑体"/>
      <w:b w:val="0"/>
    </w:rPr>
  </w:style>
  <w:style w:type="paragraph" w:customStyle="1" w:styleId="111">
    <w:name w:val="前言、引言标题"/>
    <w:next w:val="23"/>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uiPriority w:val="0"/>
    <w:pPr>
      <w:framePr w:vAnchor="page" w:hAnchor="text"/>
      <w:jc w:val="right"/>
    </w:pPr>
  </w:style>
  <w:style w:type="paragraph" w:customStyle="1" w:styleId="114">
    <w:name w:val="示例后文字"/>
    <w:basedOn w:val="23"/>
    <w:next w:val="23"/>
    <w:qFormat/>
    <w:uiPriority w:val="0"/>
    <w:pPr>
      <w:ind w:firstLine="360"/>
    </w:pPr>
    <w:rPr>
      <w:sz w:val="18"/>
    </w:rPr>
  </w:style>
  <w:style w:type="paragraph" w:customStyle="1" w:styleId="115">
    <w:name w:val="首示例"/>
    <w:next w:val="23"/>
    <w:link w:val="116"/>
    <w:qFormat/>
    <w:uiPriority w:val="0"/>
    <w:pPr>
      <w:tabs>
        <w:tab w:val="left" w:pos="360"/>
      </w:tabs>
    </w:pPr>
    <w:rPr>
      <w:rFonts w:ascii="宋体" w:hAnsi="宋体" w:eastAsia="宋体" w:cs="Times New Roman"/>
      <w:kern w:val="2"/>
      <w:sz w:val="18"/>
      <w:szCs w:val="18"/>
      <w:lang w:val="en-US" w:eastAsia="zh-CN" w:bidi="ar-SA"/>
    </w:rPr>
  </w:style>
  <w:style w:type="character" w:customStyle="1" w:styleId="116">
    <w:name w:val="首示例 Char"/>
    <w:basedOn w:val="33"/>
    <w:link w:val="115"/>
    <w:qFormat/>
    <w:uiPriority w:val="0"/>
    <w:rPr>
      <w:rFonts w:ascii="宋体" w:hAnsi="宋体"/>
      <w:kern w:val="2"/>
      <w:sz w:val="18"/>
      <w:szCs w:val="18"/>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4"/>
    <w:uiPriority w:val="0"/>
    <w:pPr>
      <w:numPr>
        <w:numId w:val="0"/>
      </w:numPr>
      <w:jc w:val="both"/>
    </w:pPr>
  </w:style>
  <w:style w:type="paragraph" w:customStyle="1" w:styleId="119">
    <w:name w:val="图标脚注说明"/>
    <w:basedOn w:val="23"/>
    <w:uiPriority w:val="0"/>
    <w:pPr>
      <w:ind w:left="840" w:hanging="420" w:firstLineChars="0"/>
    </w:pPr>
    <w:rPr>
      <w:sz w:val="18"/>
      <w:szCs w:val="18"/>
    </w:rPr>
  </w:style>
  <w:style w:type="paragraph" w:customStyle="1" w:styleId="120">
    <w:name w:val="图表脚注说明"/>
    <w:basedOn w:val="1"/>
    <w:uiPriority w:val="0"/>
    <w:pPr>
      <w:ind w:left="544" w:hanging="181"/>
    </w:pPr>
    <w:rPr>
      <w:rFonts w:ascii="宋体"/>
      <w:sz w:val="18"/>
      <w:szCs w:val="18"/>
    </w:rPr>
  </w:style>
  <w:style w:type="paragraph" w:customStyle="1" w:styleId="121">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uiPriority w:val="0"/>
    <w:pPr>
      <w:spacing w:beforeLines="0" w:afterLines="0"/>
    </w:pPr>
    <w:rPr>
      <w:rFonts w:ascii="宋体" w:eastAsia="宋体"/>
    </w:rPr>
  </w:style>
  <w:style w:type="paragraph" w:customStyle="1" w:styleId="124">
    <w:name w:val="一级无"/>
    <w:basedOn w:val="41"/>
    <w:uiPriority w:val="0"/>
    <w:pPr>
      <w:spacing w:beforeLines="0" w:afterLines="0"/>
    </w:pPr>
    <w:rPr>
      <w:rFonts w:ascii="宋体" w:eastAsia="宋体"/>
    </w:rPr>
  </w:style>
  <w:style w:type="paragraph" w:customStyle="1" w:styleId="125">
    <w:name w:val="正文表标题"/>
    <w:next w:val="23"/>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3"/>
    <w:next w:val="23"/>
    <w:qFormat/>
    <w:uiPriority w:val="0"/>
    <w:pPr>
      <w:ind w:firstLine="0" w:firstLineChars="0"/>
    </w:pPr>
  </w:style>
  <w:style w:type="paragraph" w:customStyle="1" w:styleId="127">
    <w:name w:val="正文图标题"/>
    <w:next w:val="23"/>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uiPriority w:val="0"/>
    <w:pPr>
      <w:framePr w:vAnchor="page" w:hAnchor="text" w:x="1419"/>
    </w:pPr>
  </w:style>
  <w:style w:type="paragraph" w:customStyle="1" w:styleId="130">
    <w:name w:val="其他实施日期"/>
    <w:basedOn w:val="113"/>
    <w:uiPriority w:val="0"/>
  </w:style>
  <w:style w:type="paragraph" w:customStyle="1" w:styleId="131">
    <w:name w:val="封面标准名称2"/>
    <w:basedOn w:val="77"/>
    <w:uiPriority w:val="0"/>
    <w:pPr>
      <w:framePr w:y="4469"/>
      <w:spacing w:beforeLines="630"/>
    </w:pPr>
  </w:style>
  <w:style w:type="paragraph" w:customStyle="1" w:styleId="132">
    <w:name w:val="封面标准英文名称2"/>
    <w:basedOn w:val="78"/>
    <w:qFormat/>
    <w:uiPriority w:val="0"/>
    <w:pPr>
      <w:framePr w:y="4469"/>
    </w:pPr>
  </w:style>
  <w:style w:type="paragraph" w:customStyle="1" w:styleId="133">
    <w:name w:val="封面一致性程度标识2"/>
    <w:basedOn w:val="79"/>
    <w:uiPriority w:val="0"/>
    <w:pPr>
      <w:framePr w:y="4469"/>
    </w:pPr>
  </w:style>
  <w:style w:type="paragraph" w:customStyle="1" w:styleId="134">
    <w:name w:val="封面标准文稿类别2"/>
    <w:basedOn w:val="80"/>
    <w:qFormat/>
    <w:uiPriority w:val="0"/>
    <w:pPr>
      <w:framePr w:y="4469"/>
    </w:pPr>
  </w:style>
  <w:style w:type="paragraph" w:customStyle="1" w:styleId="135">
    <w:name w:val="封面标准文稿编辑信息2"/>
    <w:basedOn w:val="81"/>
    <w:uiPriority w:val="0"/>
    <w:pPr>
      <w:framePr w:y="4469"/>
    </w:pPr>
  </w:style>
  <w:style w:type="paragraph" w:customStyle="1" w:styleId="136">
    <w:name w:val="术语定义条标题"/>
    <w:basedOn w:val="44"/>
    <w:next w:val="23"/>
    <w:uiPriority w:val="0"/>
    <w:pPr>
      <w:numPr>
        <w:numId w:val="0"/>
      </w:numPr>
      <w:spacing w:beforeLines="50" w:afterLines="50"/>
      <w:ind w:left="833" w:hanging="408"/>
      <w:jc w:val="left"/>
      <w:outlineLvl w:val="9"/>
    </w:pPr>
    <w:rPr>
      <w:b/>
    </w:rPr>
  </w:style>
  <w:style w:type="character" w:customStyle="1" w:styleId="137">
    <w:name w:val="日期 Char"/>
    <w:basedOn w:val="33"/>
    <w:link w:val="138"/>
    <w:uiPriority w:val="0"/>
    <w:rPr>
      <w:kern w:val="2"/>
      <w:sz w:val="21"/>
    </w:rPr>
  </w:style>
  <w:style w:type="paragraph" w:customStyle="1" w:styleId="138">
    <w:name w:val="日期1"/>
    <w:basedOn w:val="1"/>
    <w:next w:val="1"/>
    <w:link w:val="137"/>
    <w:uiPriority w:val="0"/>
    <w:pPr>
      <w:ind w:left="100" w:leftChars="2500"/>
    </w:pPr>
    <w:rPr>
      <w:szCs w:val="20"/>
    </w:rPr>
  </w:style>
  <w:style w:type="character" w:customStyle="1" w:styleId="139">
    <w:name w:val="标题 1 Char"/>
    <w:basedOn w:val="33"/>
    <w:link w:val="2"/>
    <w:uiPriority w:val="0"/>
    <w:rPr>
      <w:b/>
      <w:bCs/>
      <w:kern w:val="44"/>
      <w:sz w:val="44"/>
      <w:szCs w:val="44"/>
    </w:rPr>
  </w:style>
  <w:style w:type="character" w:customStyle="1" w:styleId="140">
    <w:name w:val="上标"/>
    <w:basedOn w:val="33"/>
    <w:uiPriority w:val="0"/>
    <w:rPr>
      <w:rFonts w:eastAsia="宋体"/>
      <w:sz w:val="18"/>
      <w:vertAlign w:val="superscript"/>
    </w:rPr>
  </w:style>
  <w:style w:type="character" w:customStyle="1" w:styleId="141">
    <w:name w:val="页脚 Char"/>
    <w:basedOn w:val="33"/>
    <w:link w:val="17"/>
    <w:uiPriority w:val="99"/>
    <w:rPr>
      <w:kern w:val="2"/>
      <w:sz w:val="18"/>
      <w:szCs w:val="18"/>
    </w:rPr>
  </w:style>
  <w:style w:type="paragraph" w:customStyle="1" w:styleId="142">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43">
    <w:name w:val="批注框文本 Char"/>
    <w:basedOn w:val="33"/>
    <w:link w:val="16"/>
    <w:uiPriority w:val="0"/>
    <w:rPr>
      <w:kern w:val="2"/>
      <w:sz w:val="18"/>
      <w:szCs w:val="18"/>
    </w:rPr>
  </w:style>
  <w:style w:type="character" w:customStyle="1" w:styleId="144">
    <w:name w:val="批注文字 Char"/>
    <w:basedOn w:val="33"/>
    <w:link w:val="8"/>
    <w:uiPriority w:val="0"/>
    <w:rPr>
      <w:kern w:val="2"/>
      <w:sz w:val="21"/>
      <w:szCs w:val="24"/>
      <w:lang w:val="zh-CN" w:eastAsia="zh-CN"/>
    </w:rPr>
  </w:style>
  <w:style w:type="character" w:customStyle="1" w:styleId="145">
    <w:name w:val="页眉 Char"/>
    <w:basedOn w:val="33"/>
    <w:link w:val="18"/>
    <w:uiPriority w:val="99"/>
    <w:rPr>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microsoft.com/office/2006/relationships/keyMapCustomizations" Target="customizations.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2.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1.bin"/><Relationship Id="rId27" Type="http://schemas.openxmlformats.org/officeDocument/2006/relationships/image" Target="media/image10.wmf"/><Relationship Id="rId26" Type="http://schemas.openxmlformats.org/officeDocument/2006/relationships/oleObject" Target="embeddings/oleObject10.bin"/><Relationship Id="rId25" Type="http://schemas.openxmlformats.org/officeDocument/2006/relationships/image" Target="media/image9.wmf"/><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C3CDB-27E3-49E1-8FAE-715B409DCC53}">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20</Pages>
  <Words>1654</Words>
  <Characters>9430</Characters>
  <Lines>78</Lines>
  <Paragraphs>22</Paragraphs>
  <TotalTime>1</TotalTime>
  <ScaleCrop>false</ScaleCrop>
  <LinksUpToDate>false</LinksUpToDate>
  <CharactersWithSpaces>11062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2018-06-03T05:27:00Z</dcterms:created>
  <dc:creator>CNIS</dc:creator>
  <cp:lastModifiedBy>Alfred</cp:lastModifiedBy>
  <cp:lastPrinted>2015-09-30T13:57:00Z</cp:lastPrinted>
  <dcterms:modified xsi:type="dcterms:W3CDTF">2019-12-13T08:58:15Z</dcterms:modified>
  <dc:title>标准名称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